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16.xml" ContentType="application/vnd.ms-office.chartcolorstyle+xml"/>
  <Override PartName="/word/charts/colors17.xml" ContentType="application/vnd.ms-office.chartcolorstyle+xml"/>
  <Override PartName="/word/charts/colors18.xml" ContentType="application/vnd.ms-office.chartcolorstyle+xml"/>
  <Override PartName="/word/charts/colors19.xml" ContentType="application/vnd.ms-office.chartcolorstyle+xml"/>
  <Override PartName="/word/charts/colors2.xml" ContentType="application/vnd.ms-office.chartcolorstyle+xml"/>
  <Override PartName="/word/charts/colors20.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16.xml" ContentType="application/vnd.ms-office.chartstyle+xml"/>
  <Override PartName="/word/charts/style17.xml" ContentType="application/vnd.ms-office.chartstyle+xml"/>
  <Override PartName="/word/charts/style18.xml" ContentType="application/vnd.ms-office.chartstyle+xml"/>
  <Override PartName="/word/charts/style19.xml" ContentType="application/vnd.ms-office.chartstyle+xml"/>
  <Override PartName="/word/charts/style2.xml" ContentType="application/vnd.ms-office.chartstyle+xml"/>
  <Override PartName="/word/charts/style20.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p>
    <w:p>
      <w:pPr>
        <w:jc w:val="center"/>
        <w:rPr>
          <w:rFonts w:ascii="宋体" w:hAnsi="宋体"/>
          <w:b/>
          <w:sz w:val="48"/>
          <w:szCs w:val="48"/>
        </w:rPr>
      </w:pPr>
    </w:p>
    <w:p>
      <w:pPr>
        <w:jc w:val="center"/>
        <w:rPr>
          <w:rFonts w:hint="eastAsia" w:ascii="宋体" w:hAnsi="宋体"/>
          <w:b/>
          <w:sz w:val="72"/>
          <w:szCs w:val="72"/>
        </w:rPr>
      </w:pPr>
      <w:r>
        <w:rPr>
          <w:rFonts w:ascii="宋体" w:hAnsi="宋体"/>
          <w:b/>
          <w:sz w:val="72"/>
          <w:szCs w:val="72"/>
        </w:rPr>
        <w:t>201</w:t>
      </w:r>
      <w:r>
        <w:rPr>
          <w:rFonts w:hint="eastAsia" w:ascii="宋体" w:hAnsi="宋体"/>
          <w:b/>
          <w:sz w:val="72"/>
          <w:szCs w:val="72"/>
        </w:rPr>
        <w:t>8届毕业生</w:t>
      </w:r>
      <w:r>
        <w:rPr>
          <w:rFonts w:hint="eastAsia" w:ascii="宋体" w:hAnsi="宋体"/>
          <w:b/>
          <w:sz w:val="72"/>
          <w:szCs w:val="72"/>
          <w:lang w:val="en-US" w:eastAsia="zh-CN"/>
        </w:rPr>
        <w:t xml:space="preserve">         </w:t>
      </w:r>
      <w:r>
        <w:rPr>
          <w:rFonts w:hint="eastAsia" w:ascii="宋体" w:hAnsi="宋体"/>
          <w:b/>
          <w:sz w:val="72"/>
          <w:szCs w:val="72"/>
        </w:rPr>
        <w:t>就业质量年度报告</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val="0"/>
          <w:bCs/>
          <w:sz w:val="32"/>
          <w:szCs w:val="32"/>
          <w:lang w:val="en-US" w:eastAsia="zh-CN"/>
        </w:rPr>
      </w:pPr>
      <w:r>
        <w:rPr>
          <w:rFonts w:hint="eastAsia" w:ascii="宋体" w:hAnsi="宋体"/>
          <w:b w:val="0"/>
          <w:bCs/>
          <w:sz w:val="32"/>
          <w:szCs w:val="32"/>
          <w:lang w:val="en-US" w:eastAsia="zh-CN"/>
        </w:rPr>
        <w:t>吉林省吉林省经济管理干部学院</w:t>
      </w:r>
    </w:p>
    <w:p>
      <w:pPr>
        <w:jc w:val="center"/>
        <w:rPr>
          <w:rFonts w:hint="eastAsia" w:ascii="宋体" w:hAnsi="宋体"/>
          <w:b w:val="0"/>
          <w:bCs/>
          <w:sz w:val="32"/>
          <w:szCs w:val="32"/>
          <w:lang w:val="en-US" w:eastAsia="zh-CN"/>
        </w:rPr>
      </w:pPr>
      <w:r>
        <w:rPr>
          <w:rFonts w:hint="eastAsia" w:ascii="宋体" w:hAnsi="宋体"/>
          <w:b w:val="0"/>
          <w:bCs/>
          <w:sz w:val="32"/>
          <w:szCs w:val="32"/>
          <w:lang w:val="en-US" w:eastAsia="zh-CN"/>
        </w:rPr>
        <w:t>2018年12月</w:t>
      </w:r>
    </w:p>
    <w:p>
      <w:pPr>
        <w:jc w:val="center"/>
        <w:rPr>
          <w:rFonts w:hint="eastAsia" w:ascii="宋体" w:hAnsi="宋体"/>
          <w:b/>
          <w:sz w:val="44"/>
          <w:szCs w:val="44"/>
        </w:rPr>
      </w:pPr>
    </w:p>
    <w:p>
      <w:pPr>
        <w:jc w:val="center"/>
        <w:rPr>
          <w:rFonts w:hint="eastAsia" w:ascii="宋体" w:hAnsi="宋体"/>
          <w:b/>
          <w:sz w:val="44"/>
          <w:szCs w:val="44"/>
        </w:rPr>
      </w:pPr>
    </w:p>
    <w:p>
      <w:pPr>
        <w:jc w:val="center"/>
        <w:rPr>
          <w:rFonts w:ascii="宋体"/>
          <w:b/>
          <w:sz w:val="44"/>
          <w:szCs w:val="44"/>
        </w:rPr>
      </w:pPr>
      <w:r>
        <w:rPr>
          <w:rFonts w:hint="eastAsia" w:ascii="宋体" w:hAnsi="宋体"/>
          <w:b/>
          <w:sz w:val="44"/>
          <w:szCs w:val="44"/>
        </w:rPr>
        <w:t xml:space="preserve">吉林省经济管理干部学院             </w:t>
      </w:r>
      <w:r>
        <w:rPr>
          <w:rFonts w:ascii="宋体" w:hAnsi="宋体"/>
          <w:b/>
          <w:sz w:val="44"/>
          <w:szCs w:val="44"/>
        </w:rPr>
        <w:t>201</w:t>
      </w:r>
      <w:r>
        <w:rPr>
          <w:rFonts w:hint="eastAsia" w:ascii="宋体" w:hAnsi="宋体"/>
          <w:b/>
          <w:sz w:val="44"/>
          <w:szCs w:val="44"/>
        </w:rPr>
        <w:t>8届毕业生就业质量年度报告</w:t>
      </w:r>
    </w:p>
    <w:p>
      <w:pPr>
        <w:ind w:firstLine="640" w:firstLineChars="200"/>
        <w:jc w:val="center"/>
        <w:rPr>
          <w:rFonts w:ascii="黑体" w:eastAsia="黑体"/>
          <w:sz w:val="32"/>
          <w:szCs w:val="32"/>
        </w:rPr>
      </w:pPr>
      <w:r>
        <w:rPr>
          <w:rFonts w:hint="eastAsia" w:ascii="黑体" w:eastAsia="黑体"/>
          <w:sz w:val="32"/>
          <w:szCs w:val="32"/>
        </w:rPr>
        <w:t>第一章 前言</w:t>
      </w:r>
    </w:p>
    <w:p>
      <w:pPr>
        <w:ind w:firstLine="640" w:firstLineChars="200"/>
        <w:rPr>
          <w:rFonts w:ascii="仿宋_GB2312" w:eastAsia="仿宋_GB2312"/>
          <w:sz w:val="32"/>
          <w:szCs w:val="32"/>
        </w:rPr>
      </w:pPr>
      <w:r>
        <w:rPr>
          <w:rFonts w:hint="eastAsia" w:ascii="仿宋_GB2312" w:eastAsia="仿宋_GB2312"/>
          <w:sz w:val="32"/>
          <w:szCs w:val="32"/>
        </w:rPr>
        <w:t>根据教育部关于做好高校毕业生就业质量年度报告编制发布工作的相关要求，为全面反映我院毕业生就业工作实际，完善就业状况反馈机制，接受社会监督，深化教育教学改革，培养全面人才，现编制发布《吉林省经济管理干部学院2018届毕业生就业质量年度报告》。</w:t>
      </w:r>
    </w:p>
    <w:p>
      <w:pPr>
        <w:ind w:firstLine="640" w:firstLineChars="200"/>
        <w:rPr>
          <w:rFonts w:ascii="仿宋_GB2312" w:eastAsia="仿宋_GB2312"/>
          <w:sz w:val="32"/>
          <w:szCs w:val="32"/>
        </w:rPr>
      </w:pPr>
      <w:r>
        <w:rPr>
          <w:rFonts w:hint="eastAsia" w:ascii="仿宋_GB2312" w:eastAsia="仿宋_GB2312"/>
          <w:sz w:val="32"/>
          <w:szCs w:val="32"/>
        </w:rPr>
        <w:t>本报告数据来源于吉林省经济管理干部学院就业信息数据。</w:t>
      </w:r>
    </w:p>
    <w:p>
      <w:pPr>
        <w:ind w:firstLine="640" w:firstLineChars="200"/>
        <w:rPr>
          <w:rFonts w:ascii="仿宋_GB2312" w:eastAsia="仿宋_GB2312"/>
          <w:sz w:val="32"/>
          <w:szCs w:val="32"/>
        </w:rPr>
      </w:pPr>
      <w:r>
        <w:rPr>
          <w:rFonts w:hint="eastAsia" w:ascii="仿宋_GB2312" w:eastAsia="仿宋_GB2312"/>
          <w:sz w:val="32"/>
          <w:szCs w:val="32"/>
        </w:rPr>
        <w:t>数据统计截止日期为2018年8月31日。使用数据主要涉及毕业生的规模、结构、就业率、毕业去向等。</w:t>
      </w:r>
    </w:p>
    <w:p>
      <w:pPr>
        <w:ind w:firstLine="640" w:firstLineChars="200"/>
        <w:jc w:val="center"/>
        <w:rPr>
          <w:rFonts w:ascii="黑体" w:eastAsia="黑体"/>
          <w:sz w:val="32"/>
          <w:szCs w:val="32"/>
        </w:rPr>
      </w:pPr>
      <w:r>
        <w:rPr>
          <w:rFonts w:hint="eastAsia" w:ascii="黑体" w:eastAsia="黑体"/>
          <w:sz w:val="32"/>
          <w:szCs w:val="32"/>
        </w:rPr>
        <w:t>第二章 学院概况</w:t>
      </w:r>
    </w:p>
    <w:p>
      <w:pPr>
        <w:pStyle w:val="6"/>
        <w:ind w:firstLine="640" w:firstLineChars="200"/>
        <w:rPr>
          <w:rFonts w:ascii="仿宋" w:hAnsi="仿宋" w:eastAsia="仿宋" w:cs="仿宋"/>
          <w:color w:val="222222"/>
          <w:sz w:val="32"/>
          <w:szCs w:val="32"/>
        </w:rPr>
      </w:pPr>
      <w:r>
        <w:rPr>
          <w:rFonts w:hint="eastAsia" w:ascii="仿宋" w:hAnsi="仿宋" w:eastAsia="仿宋" w:cs="仿宋"/>
          <w:color w:val="222222"/>
          <w:sz w:val="32"/>
          <w:szCs w:val="32"/>
        </w:rPr>
        <w:t>吉林省经济管理干部学院是一所具有成人高等教育、高等职业教育、中等职业教育、培训等多种办学资格的省属公办高校，也是我省首批开展高等职业教育的院校之一。建院63年来，秉承“厚德强能”的院训和“同心思进”的院风，以服务吉林经济社会发展为宗旨，以促进就业为导向，为社会培养了大批企业家和高素质应用型技术技能型人才，被誉为“企业家的摇篮”，是吉林省经济干部培养培训的重要基地。</w:t>
      </w:r>
    </w:p>
    <w:p>
      <w:pPr>
        <w:pStyle w:val="6"/>
        <w:ind w:firstLine="640" w:firstLineChars="200"/>
        <w:rPr>
          <w:rFonts w:ascii="仿宋" w:hAnsi="仿宋" w:eastAsia="仿宋" w:cs="仿宋"/>
          <w:color w:val="222222"/>
          <w:sz w:val="32"/>
          <w:szCs w:val="32"/>
        </w:rPr>
      </w:pPr>
      <w:r>
        <w:rPr>
          <w:rFonts w:hint="eastAsia" w:ascii="仿宋" w:hAnsi="仿宋" w:eastAsia="仿宋" w:cs="仿宋"/>
          <w:color w:val="222222"/>
          <w:sz w:val="32"/>
          <w:szCs w:val="32"/>
        </w:rPr>
        <w:t>学院现有院部、高新、前进3处校区，设有经济管理学院、会计学院、建筑工程学院、文化旅游学院、机电工程学院、信息传媒学院、食品药品工程学院、电子信息技师学院等8个专业教学学院，思想政治理论教学部、公共教学部、创新创业学院等3个基础教学学院（部），还设有继续教育学院、高级人才培训学院及东北亚区域合作研究院。在朝阳经济开发区购置教学用地500多亩，用于规划建设新校区。学院开办了国民经济管理、资源与环境经济学等9个成人本科专业、16个成人专科专业和工商企业管理、旅游管理、工程造价、计算机应用技术等45个高职专科专业。按照特色突出、重点引领、需求引导的方针，构建了国家级试点、省级示范、院级教学改革试点三级专业（群）建设体系，建有国家级教学改革试点专业2个、省级示范专业3个、省级现代学徒制试点专业3个、省级品牌专业群2个、省级高水平专业群5个，实现了教育链、产业链与人才链、就业链相结合。建有公共基础、电子商务、会计、应用电子、计算机集成网络等实验室百余个，省级建筑类专业示范性实习实训基地、财经类跨专业综合实训基地、现代化数字媒体录播室、SMT贴片生产线、数控加工车间等实习场所30余个，院外实习实训基地200余家。学院以提升人才培养质量为根本，全面推进项目课程改革，制定了基于职业岗位能力分析的课程标准，构建了国家级、省级、院级精品及优秀课程建设体系，实现了课程内容与职业标准对接，教学过程与生产过程对接，已建成国家级精品课程1门、省级精品课程7门、省级优秀课程30门。</w:t>
      </w:r>
    </w:p>
    <w:p>
      <w:pPr>
        <w:pStyle w:val="6"/>
        <w:ind w:firstLine="640" w:firstLineChars="200"/>
        <w:rPr>
          <w:rFonts w:ascii="仿宋" w:hAnsi="仿宋" w:eastAsia="仿宋" w:cs="仿宋"/>
          <w:color w:val="222222"/>
          <w:sz w:val="32"/>
          <w:szCs w:val="32"/>
        </w:rPr>
      </w:pPr>
      <w:r>
        <w:rPr>
          <w:rFonts w:hint="eastAsia" w:ascii="仿宋" w:hAnsi="仿宋" w:eastAsia="仿宋" w:cs="仿宋"/>
          <w:color w:val="222222"/>
          <w:sz w:val="32"/>
          <w:szCs w:val="32"/>
        </w:rPr>
        <w:t>学院拥有一支与人才培养体系相适应、教学与实践经验丰富、专兼结合、结构合理的高素质的师资队伍。现有专任教师328人，其中教授、副教授147人，“双师型”教师186人，长白山技能名师2人、吉林省职业教育先进个人1人、吉林省有突出贡献的中青年专业技术人才6人、吉林省拔尖创新人才3人、省级教学名师1人、省级优秀教师4人、吉林省科研型名教师1人，省级优秀教学团队4个，64.4%的教师拥有博士、硕士学位。</w:t>
      </w:r>
    </w:p>
    <w:p>
      <w:pPr>
        <w:pStyle w:val="6"/>
        <w:ind w:firstLine="640" w:firstLineChars="200"/>
        <w:rPr>
          <w:rFonts w:ascii="仿宋" w:hAnsi="仿宋" w:eastAsia="仿宋" w:cs="仿宋"/>
          <w:color w:val="222222"/>
          <w:sz w:val="32"/>
          <w:szCs w:val="32"/>
        </w:rPr>
      </w:pPr>
      <w:r>
        <w:rPr>
          <w:rFonts w:hint="eastAsia" w:ascii="仿宋" w:hAnsi="仿宋" w:eastAsia="仿宋" w:cs="仿宋"/>
          <w:color w:val="222222"/>
          <w:sz w:val="32"/>
          <w:szCs w:val="32"/>
        </w:rPr>
        <w:t>学院以服务吉林振兴发展、服务教育教学、服务学生发展为原则，在金融服务、信息技术、现代农业、文化旅游等领域积极开展科学研究，成果显著。完成国家级、省级课题三百余项；EI、SCI检索收录20余篇，国家重要期刊、核心期刊、省级以上刊物论文1300余篇；编写著作教材300余部；获省科学技术成果一等奖、省科技进步二等奖、省社科优秀成果一等奖30余项，申请国家专利30余个。《东北亚经济研究》杂志入选2017——2019年度RICCSE中国核心期刊（高职成高类）。</w:t>
      </w:r>
    </w:p>
    <w:p>
      <w:pPr>
        <w:pStyle w:val="6"/>
        <w:ind w:firstLine="640" w:firstLineChars="200"/>
        <w:rPr>
          <w:rFonts w:ascii="仿宋" w:hAnsi="仿宋" w:eastAsia="仿宋" w:cs="仿宋"/>
          <w:color w:val="222222"/>
          <w:sz w:val="32"/>
          <w:szCs w:val="32"/>
        </w:rPr>
      </w:pPr>
      <w:r>
        <w:rPr>
          <w:rFonts w:hint="eastAsia" w:ascii="仿宋" w:hAnsi="仿宋" w:eastAsia="仿宋" w:cs="仿宋"/>
          <w:color w:val="222222"/>
          <w:sz w:val="32"/>
          <w:szCs w:val="32"/>
        </w:rPr>
        <w:t>学院注重学生职业能力和职业素质的培养。学生在国家和吉林省高职院校技能大赛、全国大学生数学建模竞赛、全国大学生英语竞赛、全国大学生广告艺术大赛、全国大学生电子设计竞赛、全国大学生金融精英挑战赛、全国电子商务运营技能大赛、第十一届全国职业院校“用友新道杯”沙盘模拟经营大赛全国总决赛、全国青少年无线电测向锦标赛、第45届世界技能大赛吉林省选拔赛等各类大赛中取得优异成绩，连续两届在吉林省“梦想杯”大学生创业大赛中获得特等奖。学院按照资源共享、合作共赢的原则，与上海迪士尼度假区、韩国EZ公司、一汽大众汽车有限公司、北京古北水镇旅游有限公司、吉林省邮政速递物流有限公司、吉林省农村信用社等国内外近200家大中型企业建立了长期的合作关系。学院以“创客吉林”项目为平台，发展众创空间，推进大众创新创业，先后获得“创客吉林”孵化园、食品加工技术中试中心、双创示范基地、创客吉林创新创业孵化基地、长春市大学生创业创新示范园区等6个项目支持，获批项目经费和股权投资1400余万元，被省教育厅认定为吉林省深化创新创业教育改革示范高校，为推动全省大学生双创工作作出了积极贡献。建院60多年来，累计培养高职毕业生25000余人，成人教育毕业生2万余人，培训各级干部和企业管理人员4万多人。毕业生以“思想品德好、综合素质高、适应环境快、动手能力强”的特点深受用人单位欢迎，近年来毕业生就业率达到90%以上。</w:t>
      </w:r>
    </w:p>
    <w:p>
      <w:pPr>
        <w:pStyle w:val="6"/>
        <w:ind w:firstLine="360"/>
        <w:rPr>
          <w:rFonts w:ascii="仿宋" w:hAnsi="仿宋" w:eastAsia="仿宋" w:cs="仿宋"/>
          <w:color w:val="222222"/>
          <w:sz w:val="32"/>
          <w:szCs w:val="32"/>
        </w:rPr>
      </w:pPr>
      <w:r>
        <w:rPr>
          <w:rFonts w:hint="eastAsia" w:ascii="仿宋" w:hAnsi="仿宋" w:eastAsia="仿宋" w:cs="仿宋"/>
          <w:color w:val="222222"/>
          <w:sz w:val="32"/>
          <w:szCs w:val="32"/>
        </w:rPr>
        <w:t>为更好地服务经济社会发展，学院党委确定了“十三五”期间，建设应用技术大学的发展目标！</w:t>
      </w:r>
    </w:p>
    <w:p>
      <w:pPr>
        <w:ind w:left="435"/>
        <w:jc w:val="center"/>
        <w:rPr>
          <w:rFonts w:ascii="黑体" w:eastAsia="黑体"/>
          <w:sz w:val="32"/>
          <w:szCs w:val="32"/>
        </w:rPr>
      </w:pPr>
      <w:r>
        <w:rPr>
          <w:rFonts w:hint="eastAsia" w:ascii="黑体" w:eastAsia="黑体"/>
          <w:sz w:val="32"/>
          <w:szCs w:val="32"/>
        </w:rPr>
        <w:t>第三章 基本情况</w:t>
      </w:r>
    </w:p>
    <w:p>
      <w:pPr>
        <w:ind w:firstLine="640" w:firstLineChars="200"/>
        <w:rPr>
          <w:rFonts w:ascii="仿宋_GB2312" w:eastAsia="仿宋_GB2312"/>
          <w:sz w:val="32"/>
          <w:szCs w:val="32"/>
        </w:rPr>
      </w:pPr>
      <w:r>
        <w:rPr>
          <w:rFonts w:hint="eastAsia" w:ascii="仿宋_GB2312" w:eastAsia="仿宋_GB2312"/>
          <w:sz w:val="32"/>
          <w:szCs w:val="32"/>
        </w:rPr>
        <w:t>一、毕业生的规模和结构</w:t>
      </w:r>
    </w:p>
    <w:p>
      <w:pPr>
        <w:ind w:firstLine="640" w:firstLineChars="200"/>
        <w:rPr>
          <w:rFonts w:ascii="仿宋_GB2312" w:eastAsia="仿宋_GB2312"/>
          <w:sz w:val="32"/>
          <w:szCs w:val="32"/>
        </w:rPr>
      </w:pPr>
      <w:r>
        <w:rPr>
          <w:rFonts w:hint="eastAsia" w:ascii="仿宋_GB2312" w:eastAsia="仿宋_GB2312"/>
          <w:sz w:val="32"/>
          <w:szCs w:val="32"/>
        </w:rPr>
        <w:t>（一）总体规模</w:t>
      </w:r>
    </w:p>
    <w:p>
      <w:pPr>
        <w:ind w:firstLine="640" w:firstLineChars="200"/>
        <w:rPr>
          <w:rFonts w:ascii="仿宋_GB2312" w:eastAsia="仿宋_GB2312"/>
          <w:sz w:val="32"/>
          <w:szCs w:val="32"/>
        </w:rPr>
      </w:pPr>
      <w:r>
        <w:rPr>
          <w:rFonts w:hint="eastAsia" w:ascii="仿宋_GB2312" w:eastAsia="仿宋_GB2312"/>
          <w:sz w:val="32"/>
          <w:szCs w:val="32"/>
        </w:rPr>
        <w:t>女生比例较高，生源100%为省内，困难生比例与去年相比有所降低。</w:t>
      </w:r>
    </w:p>
    <w:p>
      <w:pPr>
        <w:ind w:left="435" w:leftChars="207" w:firstLine="420" w:firstLineChars="200"/>
        <w:rPr>
          <w:szCs w:val="32"/>
        </w:rPr>
      </w:pPr>
      <w:r>
        <w:drawing>
          <wp:inline distT="0" distB="0" distL="114300" distR="114300">
            <wp:extent cx="2262505" cy="1802130"/>
            <wp:effectExtent l="4445" t="4445" r="19050" b="2222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drawing>
          <wp:inline distT="0" distB="0" distL="114300" distR="114300">
            <wp:extent cx="2380615" cy="1815465"/>
            <wp:effectExtent l="4445" t="5080" r="15240" b="82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left="435"/>
        <w:jc w:val="center"/>
        <w:rPr>
          <w:rFonts w:ascii="仿宋_GB2312" w:eastAsia="仿宋_GB2312"/>
          <w:color w:val="FF0000"/>
          <w:szCs w:val="21"/>
        </w:rPr>
      </w:pPr>
      <w:r>
        <w:rPr>
          <w:rFonts w:hint="eastAsia" w:ascii="仿宋_GB2312" w:eastAsia="仿宋_GB2312"/>
          <w:color w:val="FF0000"/>
          <w:szCs w:val="21"/>
        </w:rPr>
        <w:t>数据来源：吉林省经济管理干部学院就业办公系统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color w:val="auto"/>
          <w:sz w:val="32"/>
          <w:szCs w:val="32"/>
        </w:rPr>
      </w:pPr>
      <w:r>
        <w:rPr>
          <w:rFonts w:hint="eastAsia" w:ascii="仿宋_GB2312" w:eastAsia="仿宋_GB2312"/>
          <w:sz w:val="32"/>
          <w:szCs w:val="32"/>
        </w:rPr>
        <w:t>全院共设7个二级分院37个专业，2018届毕业生共2063人。其中，男生709人，女生1354人，男女生比例为1:1.9。</w:t>
      </w:r>
      <w:r>
        <w:rPr>
          <w:rFonts w:hint="eastAsia" w:ascii="仿宋_GB2312" w:eastAsia="仿宋_GB2312"/>
          <w:color w:val="auto"/>
          <w:sz w:val="32"/>
          <w:szCs w:val="32"/>
        </w:rPr>
        <w:t>困难生93人（其中困难生92人，包括残疾人1人），占毕业生总人数3.54%。</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（二）院系及专业结构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全院毕业生共分布在7个二级分院37个专业。其中会计学院、经济管理学院、建筑工程学院 毕业生人数较多，人数占比均在 14%以上。</w:t>
      </w:r>
    </w:p>
    <w:tbl>
      <w:tblPr>
        <w:tblStyle w:val="8"/>
        <w:tblW w:w="9008" w:type="dxa"/>
        <w:tblInd w:w="93" w:type="dxa"/>
        <w:tblLayout w:type="fixed"/>
        <w:tblCellMar>
          <w:top w:w="0" w:type="dxa"/>
          <w:left w:w="108" w:type="dxa"/>
          <w:bottom w:w="0" w:type="dxa"/>
          <w:right w:w="108" w:type="dxa"/>
        </w:tblCellMar>
      </w:tblPr>
      <w:tblGrid>
        <w:gridCol w:w="876"/>
        <w:gridCol w:w="1260"/>
        <w:gridCol w:w="876"/>
        <w:gridCol w:w="1116"/>
        <w:gridCol w:w="2720"/>
        <w:gridCol w:w="1080"/>
        <w:gridCol w:w="1080"/>
      </w:tblGrid>
      <w:tr>
        <w:tblPrEx>
          <w:tblLayout w:type="fixed"/>
          <w:tblCellMar>
            <w:top w:w="0" w:type="dxa"/>
            <w:left w:w="108" w:type="dxa"/>
            <w:bottom w:w="0" w:type="dxa"/>
            <w:right w:w="108" w:type="dxa"/>
          </w:tblCellMar>
        </w:tblPrEx>
        <w:trPr>
          <w:trHeight w:val="285"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院系</w:t>
            </w:r>
          </w:p>
        </w:tc>
        <w:tc>
          <w:tcPr>
            <w:tcW w:w="8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人数</w:t>
            </w:r>
          </w:p>
        </w:tc>
        <w:tc>
          <w:tcPr>
            <w:tcW w:w="111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比例</w:t>
            </w:r>
          </w:p>
        </w:tc>
        <w:tc>
          <w:tcPr>
            <w:tcW w:w="272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专业</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人数</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比例</w:t>
            </w:r>
          </w:p>
        </w:tc>
      </w:tr>
      <w:tr>
        <w:tblPrEx>
          <w:tblLayout w:type="fixed"/>
          <w:tblCellMar>
            <w:top w:w="0" w:type="dxa"/>
            <w:left w:w="108" w:type="dxa"/>
            <w:bottom w:w="0" w:type="dxa"/>
            <w:right w:w="108" w:type="dxa"/>
          </w:tblCellMar>
        </w:tblPrEx>
        <w:trPr>
          <w:trHeight w:val="285" w:hRule="atLeast"/>
        </w:trPr>
        <w:tc>
          <w:tcPr>
            <w:tcW w:w="87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12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经济管理学院</w:t>
            </w:r>
          </w:p>
        </w:tc>
        <w:tc>
          <w:tcPr>
            <w:tcW w:w="87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3</w:t>
            </w:r>
            <w:r>
              <w:rPr>
                <w:rFonts w:hint="eastAsia" w:ascii="仿宋_GB2312" w:hAnsi="宋体" w:eastAsia="仿宋_GB2312" w:cs="宋体"/>
                <w:kern w:val="0"/>
                <w:sz w:val="24"/>
              </w:rPr>
              <w:t>83</w:t>
            </w:r>
          </w:p>
        </w:tc>
        <w:tc>
          <w:tcPr>
            <w:tcW w:w="11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18.57</w:t>
            </w:r>
            <w:r>
              <w:rPr>
                <w:rFonts w:ascii="仿宋_GB2312" w:hAnsi="宋体" w:eastAsia="仿宋_GB2312" w:cs="宋体"/>
                <w:kern w:val="0"/>
                <w:sz w:val="24"/>
              </w:rPr>
              <w:t>%</w:t>
            </w: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工商企业管理</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78</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3.78%</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物流管理</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43</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2.08%</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市场营销</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55</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2.67%</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金融与保险</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36</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1.75%</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投资与理财</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47</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2.28%</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报关与国际货运</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32</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1.55%</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国际经济与贸易</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40</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1.94%</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电子商务</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52</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2.52%</w:t>
            </w:r>
          </w:p>
        </w:tc>
      </w:tr>
      <w:tr>
        <w:tblPrEx>
          <w:tblLayout w:type="fixed"/>
          <w:tblCellMar>
            <w:top w:w="0" w:type="dxa"/>
            <w:left w:w="108" w:type="dxa"/>
            <w:bottom w:w="0" w:type="dxa"/>
            <w:right w:w="108" w:type="dxa"/>
          </w:tblCellMar>
        </w:tblPrEx>
        <w:trPr>
          <w:trHeight w:val="285" w:hRule="atLeast"/>
        </w:trPr>
        <w:tc>
          <w:tcPr>
            <w:tcW w:w="876"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w:t>
            </w:r>
          </w:p>
        </w:tc>
        <w:tc>
          <w:tcPr>
            <w:tcW w:w="1260"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建筑工程学院</w:t>
            </w:r>
          </w:p>
        </w:tc>
        <w:tc>
          <w:tcPr>
            <w:tcW w:w="876"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304</w:t>
            </w:r>
          </w:p>
        </w:tc>
        <w:tc>
          <w:tcPr>
            <w:tcW w:w="1116"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14.74</w:t>
            </w:r>
            <w:r>
              <w:rPr>
                <w:rFonts w:ascii="仿宋_GB2312" w:hAnsi="宋体" w:eastAsia="仿宋_GB2312" w:cs="宋体"/>
                <w:kern w:val="0"/>
                <w:sz w:val="24"/>
              </w:rPr>
              <w:t>%</w:t>
            </w: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建筑装饰工程技术</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48</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2.33%</w:t>
            </w:r>
          </w:p>
        </w:tc>
      </w:tr>
      <w:tr>
        <w:tblPrEx>
          <w:tblLayout w:type="fixed"/>
          <w:tblCellMar>
            <w:top w:w="0" w:type="dxa"/>
            <w:left w:w="108" w:type="dxa"/>
            <w:bottom w:w="0" w:type="dxa"/>
            <w:right w:w="108" w:type="dxa"/>
          </w:tblCellMar>
        </w:tblPrEx>
        <w:trPr>
          <w:trHeight w:val="285" w:hRule="atLeast"/>
        </w:trPr>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建筑工程技术</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76</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3.68%</w:t>
            </w:r>
          </w:p>
        </w:tc>
      </w:tr>
      <w:tr>
        <w:tblPrEx>
          <w:tblLayout w:type="fixed"/>
          <w:tblCellMar>
            <w:top w:w="0" w:type="dxa"/>
            <w:left w:w="108" w:type="dxa"/>
            <w:bottom w:w="0" w:type="dxa"/>
            <w:right w:w="108" w:type="dxa"/>
          </w:tblCellMar>
        </w:tblPrEx>
        <w:trPr>
          <w:trHeight w:val="285" w:hRule="atLeast"/>
        </w:trPr>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工程造价</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88</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4.27%</w:t>
            </w:r>
          </w:p>
        </w:tc>
      </w:tr>
      <w:tr>
        <w:tblPrEx>
          <w:tblLayout w:type="fixed"/>
          <w:tblCellMar>
            <w:top w:w="0" w:type="dxa"/>
            <w:left w:w="108" w:type="dxa"/>
            <w:bottom w:w="0" w:type="dxa"/>
            <w:right w:w="108" w:type="dxa"/>
          </w:tblCellMar>
        </w:tblPrEx>
        <w:trPr>
          <w:trHeight w:val="285" w:hRule="atLeast"/>
        </w:trPr>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房地产经营与估价</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31</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1.50%</w:t>
            </w:r>
          </w:p>
        </w:tc>
      </w:tr>
      <w:tr>
        <w:tblPrEx>
          <w:tblLayout w:type="fixed"/>
          <w:tblCellMar>
            <w:top w:w="0" w:type="dxa"/>
            <w:left w:w="108" w:type="dxa"/>
            <w:bottom w:w="0" w:type="dxa"/>
            <w:right w:w="108" w:type="dxa"/>
          </w:tblCellMar>
        </w:tblPrEx>
        <w:trPr>
          <w:trHeight w:val="285" w:hRule="atLeast"/>
        </w:trPr>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园林工程技术</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37</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1.79%</w:t>
            </w:r>
          </w:p>
        </w:tc>
      </w:tr>
      <w:tr>
        <w:tblPrEx>
          <w:tblLayout w:type="fixed"/>
          <w:tblCellMar>
            <w:top w:w="0" w:type="dxa"/>
            <w:left w:w="108" w:type="dxa"/>
            <w:bottom w:w="0" w:type="dxa"/>
            <w:right w:w="108" w:type="dxa"/>
          </w:tblCellMar>
        </w:tblPrEx>
        <w:trPr>
          <w:trHeight w:val="285" w:hRule="atLeast"/>
        </w:trPr>
        <w:tc>
          <w:tcPr>
            <w:tcW w:w="87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物业管理</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24</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1.16%</w:t>
            </w:r>
          </w:p>
        </w:tc>
      </w:tr>
      <w:tr>
        <w:tblPrEx>
          <w:tblLayout w:type="fixed"/>
          <w:tblCellMar>
            <w:top w:w="0" w:type="dxa"/>
            <w:left w:w="108" w:type="dxa"/>
            <w:bottom w:w="0" w:type="dxa"/>
            <w:right w:w="108" w:type="dxa"/>
          </w:tblCellMar>
        </w:tblPrEx>
        <w:trPr>
          <w:trHeight w:val="285" w:hRule="atLeast"/>
        </w:trPr>
        <w:tc>
          <w:tcPr>
            <w:tcW w:w="87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3</w:t>
            </w:r>
          </w:p>
        </w:tc>
        <w:tc>
          <w:tcPr>
            <w:tcW w:w="12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机电工程学院</w:t>
            </w:r>
          </w:p>
        </w:tc>
        <w:tc>
          <w:tcPr>
            <w:tcW w:w="87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288</w:t>
            </w:r>
          </w:p>
        </w:tc>
        <w:tc>
          <w:tcPr>
            <w:tcW w:w="11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13.96</w:t>
            </w:r>
            <w:r>
              <w:rPr>
                <w:rFonts w:ascii="仿宋_GB2312" w:hAnsi="宋体" w:eastAsia="仿宋_GB2312" w:cs="宋体"/>
                <w:kern w:val="0"/>
                <w:sz w:val="24"/>
              </w:rPr>
              <w:t>%</w:t>
            </w: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机电一体化技术</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44</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2.13%</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机械制造及自动化</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25</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1.21%</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城市轨道交通运营管理</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121</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5.87%</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汽车技术服务与营销</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98</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4.75%</w:t>
            </w:r>
          </w:p>
        </w:tc>
      </w:tr>
      <w:tr>
        <w:tblPrEx>
          <w:tblLayout w:type="fixed"/>
          <w:tblCellMar>
            <w:top w:w="0" w:type="dxa"/>
            <w:left w:w="108" w:type="dxa"/>
            <w:bottom w:w="0" w:type="dxa"/>
            <w:right w:w="108" w:type="dxa"/>
          </w:tblCellMar>
        </w:tblPrEx>
        <w:trPr>
          <w:trHeight w:val="285" w:hRule="atLeast"/>
        </w:trPr>
        <w:tc>
          <w:tcPr>
            <w:tcW w:w="876"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4</w:t>
            </w:r>
          </w:p>
        </w:tc>
        <w:tc>
          <w:tcPr>
            <w:tcW w:w="1260"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数字出版学院</w:t>
            </w:r>
          </w:p>
        </w:tc>
        <w:tc>
          <w:tcPr>
            <w:tcW w:w="876"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278</w:t>
            </w:r>
          </w:p>
        </w:tc>
        <w:tc>
          <w:tcPr>
            <w:tcW w:w="1116"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13.48</w:t>
            </w:r>
            <w:r>
              <w:rPr>
                <w:rFonts w:ascii="仿宋_GB2312" w:hAnsi="宋体" w:eastAsia="仿宋_GB2312" w:cs="宋体"/>
                <w:kern w:val="0"/>
                <w:sz w:val="24"/>
              </w:rPr>
              <w:t>%</w:t>
            </w: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计算机应用技术</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80</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3.88%</w:t>
            </w:r>
          </w:p>
        </w:tc>
      </w:tr>
      <w:tr>
        <w:tblPrEx>
          <w:tblLayout w:type="fixed"/>
          <w:tblCellMar>
            <w:top w:w="0" w:type="dxa"/>
            <w:left w:w="108" w:type="dxa"/>
            <w:bottom w:w="0" w:type="dxa"/>
            <w:right w:w="108" w:type="dxa"/>
          </w:tblCellMar>
        </w:tblPrEx>
        <w:trPr>
          <w:trHeight w:val="285" w:hRule="atLeast"/>
        </w:trPr>
        <w:tc>
          <w:tcPr>
            <w:tcW w:w="876"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260"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876"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116"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广告设计与制作</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55</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2.67%</w:t>
            </w:r>
          </w:p>
        </w:tc>
      </w:tr>
      <w:tr>
        <w:tblPrEx>
          <w:tblLayout w:type="fixed"/>
          <w:tblCellMar>
            <w:top w:w="0" w:type="dxa"/>
            <w:left w:w="108" w:type="dxa"/>
            <w:bottom w:w="0" w:type="dxa"/>
            <w:right w:w="108" w:type="dxa"/>
          </w:tblCellMar>
        </w:tblPrEx>
        <w:trPr>
          <w:trHeight w:val="285" w:hRule="atLeast"/>
        </w:trPr>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软件技术</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34</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1.65%</w:t>
            </w:r>
          </w:p>
        </w:tc>
      </w:tr>
      <w:tr>
        <w:tblPrEx>
          <w:tblLayout w:type="fixed"/>
          <w:tblCellMar>
            <w:top w:w="0" w:type="dxa"/>
            <w:left w:w="108" w:type="dxa"/>
            <w:bottom w:w="0" w:type="dxa"/>
            <w:right w:w="108" w:type="dxa"/>
          </w:tblCellMar>
        </w:tblPrEx>
        <w:trPr>
          <w:trHeight w:val="285" w:hRule="atLeast"/>
        </w:trPr>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物联网应用技术</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34</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1.65%</w:t>
            </w:r>
          </w:p>
        </w:tc>
      </w:tr>
      <w:tr>
        <w:tblPrEx>
          <w:tblLayout w:type="fixed"/>
          <w:tblCellMar>
            <w:top w:w="0" w:type="dxa"/>
            <w:left w:w="108" w:type="dxa"/>
            <w:bottom w:w="0" w:type="dxa"/>
            <w:right w:w="108" w:type="dxa"/>
          </w:tblCellMar>
        </w:tblPrEx>
        <w:trPr>
          <w:trHeight w:val="285" w:hRule="atLeast"/>
        </w:trPr>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电子信息工程技术</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33</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1.60%</w:t>
            </w:r>
          </w:p>
        </w:tc>
      </w:tr>
      <w:tr>
        <w:tblPrEx>
          <w:tblLayout w:type="fixed"/>
          <w:tblCellMar>
            <w:top w:w="0" w:type="dxa"/>
            <w:left w:w="108" w:type="dxa"/>
            <w:bottom w:w="0" w:type="dxa"/>
            <w:right w:w="108" w:type="dxa"/>
          </w:tblCellMar>
        </w:tblPrEx>
        <w:trPr>
          <w:trHeight w:val="285" w:hRule="atLeast"/>
        </w:trPr>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left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数字出版</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22</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1.07%</w:t>
            </w:r>
          </w:p>
        </w:tc>
      </w:tr>
      <w:tr>
        <w:tblPrEx>
          <w:tblLayout w:type="fixed"/>
          <w:tblCellMar>
            <w:top w:w="0" w:type="dxa"/>
            <w:left w:w="108" w:type="dxa"/>
            <w:bottom w:w="0" w:type="dxa"/>
            <w:right w:w="108" w:type="dxa"/>
          </w:tblCellMar>
        </w:tblPrEx>
        <w:trPr>
          <w:trHeight w:val="285" w:hRule="atLeast"/>
        </w:trPr>
        <w:tc>
          <w:tcPr>
            <w:tcW w:w="87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数字媒体技术</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0.97%</w:t>
            </w:r>
          </w:p>
        </w:tc>
      </w:tr>
      <w:tr>
        <w:tblPrEx>
          <w:tblLayout w:type="fixed"/>
          <w:tblCellMar>
            <w:top w:w="0" w:type="dxa"/>
            <w:left w:w="108" w:type="dxa"/>
            <w:bottom w:w="0" w:type="dxa"/>
            <w:right w:w="108" w:type="dxa"/>
          </w:tblCellMar>
        </w:tblPrEx>
        <w:trPr>
          <w:trHeight w:val="285" w:hRule="atLeast"/>
        </w:trPr>
        <w:tc>
          <w:tcPr>
            <w:tcW w:w="87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5</w:t>
            </w:r>
          </w:p>
        </w:tc>
        <w:tc>
          <w:tcPr>
            <w:tcW w:w="12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文化旅游学院</w:t>
            </w:r>
          </w:p>
        </w:tc>
        <w:tc>
          <w:tcPr>
            <w:tcW w:w="87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249</w:t>
            </w:r>
          </w:p>
        </w:tc>
        <w:tc>
          <w:tcPr>
            <w:tcW w:w="11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12.07</w:t>
            </w:r>
            <w:r>
              <w:rPr>
                <w:rFonts w:ascii="仿宋_GB2312" w:hAnsi="宋体" w:eastAsia="仿宋_GB2312" w:cs="宋体"/>
                <w:kern w:val="0"/>
                <w:sz w:val="24"/>
              </w:rPr>
              <w:t>%</w:t>
            </w: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旅游管理</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70</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3.39%</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酒店管理</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65</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3.15%</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航空服务</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51</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2.47%</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会展策划与管理</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42</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2.04%</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商务英语</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21</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1.02%</w:t>
            </w:r>
          </w:p>
        </w:tc>
      </w:tr>
      <w:tr>
        <w:tblPrEx>
          <w:tblLayout w:type="fixed"/>
          <w:tblCellMar>
            <w:top w:w="0" w:type="dxa"/>
            <w:left w:w="108" w:type="dxa"/>
            <w:bottom w:w="0" w:type="dxa"/>
            <w:right w:w="108" w:type="dxa"/>
          </w:tblCellMar>
        </w:tblPrEx>
        <w:trPr>
          <w:trHeight w:val="285" w:hRule="atLeast"/>
        </w:trPr>
        <w:tc>
          <w:tcPr>
            <w:tcW w:w="87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6</w:t>
            </w:r>
          </w:p>
        </w:tc>
        <w:tc>
          <w:tcPr>
            <w:tcW w:w="12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会计学院</w:t>
            </w:r>
          </w:p>
        </w:tc>
        <w:tc>
          <w:tcPr>
            <w:tcW w:w="87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456</w:t>
            </w:r>
          </w:p>
        </w:tc>
        <w:tc>
          <w:tcPr>
            <w:tcW w:w="11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22.1</w:t>
            </w:r>
            <w:r>
              <w:rPr>
                <w:rFonts w:ascii="仿宋_GB2312" w:hAnsi="宋体" w:eastAsia="仿宋_GB2312" w:cs="宋体"/>
                <w:kern w:val="0"/>
                <w:sz w:val="24"/>
              </w:rPr>
              <w:t>%</w:t>
            </w: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会计</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293</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14.20%</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会计电算化</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93</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4.51%</w:t>
            </w:r>
          </w:p>
        </w:tc>
      </w:tr>
      <w:tr>
        <w:tblPrEx>
          <w:tblLayout w:type="fixed"/>
          <w:tblCellMar>
            <w:top w:w="0" w:type="dxa"/>
            <w:left w:w="108" w:type="dxa"/>
            <w:bottom w:w="0" w:type="dxa"/>
            <w:right w:w="108" w:type="dxa"/>
          </w:tblCellMar>
        </w:tblPrEx>
        <w:trPr>
          <w:trHeight w:val="285" w:hRule="atLeast"/>
        </w:trPr>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4"/>
              </w:rPr>
            </w:pP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财务管理</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70</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3.39%</w:t>
            </w:r>
          </w:p>
        </w:tc>
      </w:tr>
      <w:tr>
        <w:tblPrEx>
          <w:tblLayout w:type="fixed"/>
          <w:tblCellMar>
            <w:top w:w="0" w:type="dxa"/>
            <w:left w:w="108" w:type="dxa"/>
            <w:bottom w:w="0" w:type="dxa"/>
            <w:right w:w="108" w:type="dxa"/>
          </w:tblCellMar>
        </w:tblPrEx>
        <w:trPr>
          <w:trHeight w:val="307" w:hRule="atLeast"/>
        </w:trPr>
        <w:tc>
          <w:tcPr>
            <w:tcW w:w="876"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7</w:t>
            </w:r>
          </w:p>
        </w:tc>
        <w:tc>
          <w:tcPr>
            <w:tcW w:w="1260" w:type="dxa"/>
            <w:vMerge w:val="restart"/>
            <w:tcBorders>
              <w:top w:val="nil"/>
              <w:left w:val="nil"/>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现代农业学院</w:t>
            </w:r>
          </w:p>
        </w:tc>
        <w:tc>
          <w:tcPr>
            <w:tcW w:w="876" w:type="dxa"/>
            <w:vMerge w:val="restart"/>
            <w:tcBorders>
              <w:top w:val="nil"/>
              <w:left w:val="nil"/>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105</w:t>
            </w:r>
          </w:p>
        </w:tc>
        <w:tc>
          <w:tcPr>
            <w:tcW w:w="1116" w:type="dxa"/>
            <w:vMerge w:val="restart"/>
            <w:tcBorders>
              <w:top w:val="nil"/>
              <w:left w:val="nil"/>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5.08</w:t>
            </w:r>
            <w:r>
              <w:rPr>
                <w:rFonts w:ascii="仿宋_GB2312" w:hAnsi="宋体" w:eastAsia="仿宋_GB2312" w:cs="宋体"/>
                <w:kern w:val="0"/>
                <w:sz w:val="24"/>
              </w:rPr>
              <w:t>%</w:t>
            </w:r>
          </w:p>
        </w:tc>
        <w:tc>
          <w:tcPr>
            <w:tcW w:w="2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食品营养与检测</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35</w:t>
            </w:r>
          </w:p>
        </w:tc>
        <w:tc>
          <w:tcPr>
            <w:tcW w:w="10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1.70%</w:t>
            </w:r>
          </w:p>
        </w:tc>
      </w:tr>
      <w:tr>
        <w:tblPrEx>
          <w:tblLayout w:type="fixed"/>
          <w:tblCellMar>
            <w:top w:w="0" w:type="dxa"/>
            <w:left w:w="108" w:type="dxa"/>
            <w:bottom w:w="0" w:type="dxa"/>
            <w:right w:w="108" w:type="dxa"/>
          </w:tblCellMar>
        </w:tblPrEx>
        <w:trPr>
          <w:trHeight w:val="189" w:hRule="atLeast"/>
        </w:trPr>
        <w:tc>
          <w:tcPr>
            <w:tcW w:w="876"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260"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876"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116"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272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食品质量与安全</w:t>
            </w:r>
          </w:p>
        </w:tc>
        <w:tc>
          <w:tcPr>
            <w:tcW w:w="108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31</w:t>
            </w:r>
          </w:p>
        </w:tc>
        <w:tc>
          <w:tcPr>
            <w:tcW w:w="1080" w:type="dxa"/>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1.50%</w:t>
            </w:r>
          </w:p>
        </w:tc>
      </w:tr>
      <w:tr>
        <w:tblPrEx>
          <w:tblLayout w:type="fixed"/>
          <w:tblCellMar>
            <w:top w:w="0" w:type="dxa"/>
            <w:left w:w="108" w:type="dxa"/>
            <w:bottom w:w="0" w:type="dxa"/>
            <w:right w:w="108" w:type="dxa"/>
          </w:tblCellMar>
        </w:tblPrEx>
        <w:trPr>
          <w:trHeight w:val="189" w:hRule="atLeast"/>
        </w:trPr>
        <w:tc>
          <w:tcPr>
            <w:tcW w:w="876"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260"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876"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116"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272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食品加工技术</w:t>
            </w:r>
          </w:p>
        </w:tc>
        <w:tc>
          <w:tcPr>
            <w:tcW w:w="108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21</w:t>
            </w:r>
          </w:p>
        </w:tc>
        <w:tc>
          <w:tcPr>
            <w:tcW w:w="1080" w:type="dxa"/>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1.02%</w:t>
            </w:r>
          </w:p>
        </w:tc>
      </w:tr>
      <w:tr>
        <w:tblPrEx>
          <w:tblLayout w:type="fixed"/>
          <w:tblCellMar>
            <w:top w:w="0" w:type="dxa"/>
            <w:left w:w="108" w:type="dxa"/>
            <w:bottom w:w="0" w:type="dxa"/>
            <w:right w:w="108" w:type="dxa"/>
          </w:tblCellMar>
        </w:tblPrEx>
        <w:trPr>
          <w:trHeight w:val="148" w:hRule="atLeast"/>
        </w:trPr>
        <w:tc>
          <w:tcPr>
            <w:tcW w:w="876"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260"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876"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116"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272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畜牧兽医</w:t>
            </w:r>
          </w:p>
        </w:tc>
        <w:tc>
          <w:tcPr>
            <w:tcW w:w="108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18</w:t>
            </w:r>
          </w:p>
        </w:tc>
        <w:tc>
          <w:tcPr>
            <w:tcW w:w="1080" w:type="dxa"/>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0.87%</w:t>
            </w:r>
          </w:p>
        </w:tc>
      </w:tr>
      <w:tr>
        <w:tblPrEx>
          <w:tblLayout w:type="fixed"/>
          <w:tblCellMar>
            <w:top w:w="0" w:type="dxa"/>
            <w:left w:w="108" w:type="dxa"/>
            <w:bottom w:w="0" w:type="dxa"/>
            <w:right w:w="108" w:type="dxa"/>
          </w:tblCellMar>
        </w:tblPrEx>
        <w:trPr>
          <w:trHeight w:val="624" w:hRule="atLeast"/>
        </w:trPr>
        <w:tc>
          <w:tcPr>
            <w:tcW w:w="2136" w:type="dxa"/>
            <w:gridSpan w:val="2"/>
            <w:vMerge w:val="restart"/>
            <w:tcBorders>
              <w:left w:val="single" w:color="auto" w:sz="4" w:space="0"/>
              <w:bottom w:val="single" w:color="000000"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总计</w:t>
            </w:r>
          </w:p>
        </w:tc>
        <w:tc>
          <w:tcPr>
            <w:tcW w:w="5792" w:type="dxa"/>
            <w:gridSpan w:val="4"/>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2063</w:t>
            </w:r>
          </w:p>
        </w:tc>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100%</w:t>
            </w:r>
          </w:p>
        </w:tc>
      </w:tr>
      <w:tr>
        <w:tblPrEx>
          <w:tblLayout w:type="fixed"/>
          <w:tblCellMar>
            <w:top w:w="0" w:type="dxa"/>
            <w:left w:w="108" w:type="dxa"/>
            <w:bottom w:w="0" w:type="dxa"/>
            <w:right w:w="108" w:type="dxa"/>
          </w:tblCellMar>
        </w:tblPrEx>
        <w:trPr>
          <w:trHeight w:val="312" w:hRule="atLeast"/>
        </w:trPr>
        <w:tc>
          <w:tcPr>
            <w:tcW w:w="2136" w:type="dxa"/>
            <w:gridSpan w:val="2"/>
            <w:vMerge w:val="continue"/>
            <w:tcBorders>
              <w:left w:val="single" w:color="auto" w:sz="4" w:space="0"/>
              <w:bottom w:val="single" w:color="000000" w:sz="4" w:space="0"/>
              <w:right w:val="single" w:color="000000" w:sz="4" w:space="0"/>
            </w:tcBorders>
            <w:vAlign w:val="center"/>
          </w:tcPr>
          <w:p>
            <w:pPr>
              <w:widowControl/>
              <w:jc w:val="left"/>
              <w:rPr>
                <w:rFonts w:ascii="宋体" w:cs="宋体"/>
                <w:kern w:val="0"/>
                <w:sz w:val="24"/>
              </w:rPr>
            </w:pPr>
          </w:p>
        </w:tc>
        <w:tc>
          <w:tcPr>
            <w:tcW w:w="5792"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宋体"/>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rPr>
            </w:pPr>
          </w:p>
        </w:tc>
      </w:tr>
    </w:tbl>
    <w:p>
      <w:pPr>
        <w:jc w:val="center"/>
        <w:rPr>
          <w:rFonts w:ascii="仿宋_GB2312" w:eastAsia="仿宋_GB2312"/>
          <w:sz w:val="32"/>
          <w:szCs w:val="32"/>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二、就业率及毕业去向</w:t>
      </w:r>
    </w:p>
    <w:p>
      <w:pPr>
        <w:ind w:firstLine="640" w:firstLineChars="200"/>
        <w:rPr>
          <w:rFonts w:ascii="仿宋_GB2312" w:eastAsia="仿宋_GB2312"/>
          <w:sz w:val="32"/>
          <w:szCs w:val="32"/>
        </w:rPr>
      </w:pPr>
      <w:r>
        <w:rPr>
          <w:rFonts w:hint="eastAsia" w:ascii="仿宋_GB2312" w:eastAsia="仿宋_GB2312"/>
          <w:sz w:val="32"/>
          <w:szCs w:val="32"/>
        </w:rPr>
        <w:t>（一）总体就业率</w:t>
      </w:r>
    </w:p>
    <w:tbl>
      <w:tblPr>
        <w:tblStyle w:val="8"/>
        <w:tblW w:w="9000" w:type="dxa"/>
        <w:tblInd w:w="108" w:type="dxa"/>
        <w:tblLayout w:type="fixed"/>
        <w:tblCellMar>
          <w:top w:w="0" w:type="dxa"/>
          <w:left w:w="108" w:type="dxa"/>
          <w:bottom w:w="0" w:type="dxa"/>
          <w:right w:w="108" w:type="dxa"/>
        </w:tblCellMar>
      </w:tblPr>
      <w:tblGrid>
        <w:gridCol w:w="2880"/>
        <w:gridCol w:w="2111"/>
        <w:gridCol w:w="1960"/>
        <w:gridCol w:w="2049"/>
      </w:tblGrid>
      <w:tr>
        <w:tblPrEx>
          <w:tblLayout w:type="fixed"/>
          <w:tblCellMar>
            <w:top w:w="0" w:type="dxa"/>
            <w:left w:w="108" w:type="dxa"/>
            <w:bottom w:w="0" w:type="dxa"/>
            <w:right w:w="108" w:type="dxa"/>
          </w:tblCellMar>
        </w:tblPrEx>
        <w:trPr>
          <w:trHeight w:val="518" w:hRule="atLeast"/>
        </w:trPr>
        <w:tc>
          <w:tcPr>
            <w:tcW w:w="2880"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cs="宋体"/>
                <w:kern w:val="0"/>
                <w:sz w:val="24"/>
              </w:rPr>
            </w:pPr>
            <w:r>
              <w:rPr>
                <w:rFonts w:hint="eastAsia" w:ascii="宋体" w:hAnsi="宋体" w:cs="宋体"/>
                <w:kern w:val="0"/>
                <w:sz w:val="24"/>
              </w:rPr>
              <w:t>就业形式</w:t>
            </w:r>
          </w:p>
        </w:tc>
        <w:tc>
          <w:tcPr>
            <w:tcW w:w="2111" w:type="dxa"/>
            <w:tcBorders>
              <w:top w:val="single" w:color="auto" w:sz="4" w:space="0"/>
              <w:left w:val="nil"/>
              <w:bottom w:val="single" w:color="auto" w:sz="4" w:space="0"/>
              <w:right w:val="single" w:color="auto" w:sz="4" w:space="0"/>
            </w:tcBorders>
            <w:vAlign w:val="bottom"/>
          </w:tcPr>
          <w:p>
            <w:pPr>
              <w:widowControl/>
              <w:jc w:val="center"/>
              <w:rPr>
                <w:rFonts w:ascii="宋体" w:cs="宋体"/>
                <w:kern w:val="0"/>
                <w:sz w:val="24"/>
              </w:rPr>
            </w:pPr>
            <w:r>
              <w:rPr>
                <w:rFonts w:hint="eastAsia" w:ascii="宋体" w:hAnsi="宋体" w:cs="宋体"/>
                <w:kern w:val="0"/>
                <w:sz w:val="24"/>
              </w:rPr>
              <w:t>人数</w:t>
            </w:r>
          </w:p>
        </w:tc>
        <w:tc>
          <w:tcPr>
            <w:tcW w:w="1960" w:type="dxa"/>
            <w:tcBorders>
              <w:top w:val="single" w:color="auto" w:sz="4" w:space="0"/>
              <w:left w:val="nil"/>
              <w:bottom w:val="single" w:color="auto" w:sz="4" w:space="0"/>
              <w:right w:val="single" w:color="auto" w:sz="4" w:space="0"/>
            </w:tcBorders>
            <w:vAlign w:val="bottom"/>
          </w:tcPr>
          <w:p>
            <w:pPr>
              <w:widowControl/>
              <w:jc w:val="center"/>
              <w:rPr>
                <w:rFonts w:ascii="宋体" w:cs="宋体"/>
                <w:kern w:val="0"/>
                <w:sz w:val="24"/>
              </w:rPr>
            </w:pPr>
            <w:r>
              <w:rPr>
                <w:rFonts w:hint="eastAsia" w:ascii="宋体" w:hAnsi="宋体" w:cs="宋体"/>
                <w:kern w:val="0"/>
                <w:sz w:val="24"/>
              </w:rPr>
              <w:t>比例</w:t>
            </w:r>
          </w:p>
        </w:tc>
        <w:tc>
          <w:tcPr>
            <w:tcW w:w="2049" w:type="dxa"/>
            <w:tcBorders>
              <w:top w:val="single" w:color="auto" w:sz="4" w:space="0"/>
              <w:left w:val="nil"/>
              <w:bottom w:val="single" w:color="auto" w:sz="4" w:space="0"/>
              <w:right w:val="single" w:color="auto" w:sz="4" w:space="0"/>
            </w:tcBorders>
            <w:vAlign w:val="bottom"/>
          </w:tcPr>
          <w:p>
            <w:pPr>
              <w:widowControl/>
              <w:jc w:val="center"/>
              <w:rPr>
                <w:rFonts w:ascii="宋体" w:cs="宋体"/>
                <w:kern w:val="0"/>
                <w:sz w:val="24"/>
              </w:rPr>
            </w:pPr>
            <w:r>
              <w:rPr>
                <w:rFonts w:hint="eastAsia" w:ascii="宋体" w:hAnsi="宋体" w:cs="宋体"/>
                <w:kern w:val="0"/>
                <w:sz w:val="24"/>
              </w:rPr>
              <w:t>就业率</w:t>
            </w:r>
          </w:p>
        </w:tc>
      </w:tr>
      <w:tr>
        <w:tblPrEx>
          <w:tblLayout w:type="fixed"/>
          <w:tblCellMar>
            <w:top w:w="0" w:type="dxa"/>
            <w:left w:w="108" w:type="dxa"/>
            <w:bottom w:w="0" w:type="dxa"/>
            <w:right w:w="108" w:type="dxa"/>
          </w:tblCellMar>
        </w:tblPrEx>
        <w:trPr>
          <w:trHeight w:val="454" w:hRule="atLeast"/>
        </w:trPr>
        <w:tc>
          <w:tcPr>
            <w:tcW w:w="2880" w:type="dxa"/>
            <w:tcBorders>
              <w:top w:val="nil"/>
              <w:left w:val="single" w:color="auto" w:sz="4" w:space="0"/>
              <w:bottom w:val="single" w:color="auto" w:sz="4" w:space="0"/>
              <w:right w:val="single" w:color="auto" w:sz="4" w:space="0"/>
            </w:tcBorders>
            <w:vAlign w:val="bottom"/>
          </w:tcPr>
          <w:p>
            <w:pPr>
              <w:widowControl/>
              <w:jc w:val="center"/>
              <w:rPr>
                <w:rFonts w:ascii="宋体" w:cs="宋体"/>
                <w:kern w:val="0"/>
                <w:sz w:val="24"/>
              </w:rPr>
            </w:pPr>
            <w:r>
              <w:rPr>
                <w:rFonts w:hint="eastAsia" w:ascii="宋体" w:hAnsi="宋体" w:cs="宋体"/>
                <w:kern w:val="0"/>
                <w:sz w:val="24"/>
              </w:rPr>
              <w:t>单位就业</w:t>
            </w:r>
          </w:p>
        </w:tc>
        <w:tc>
          <w:tcPr>
            <w:tcW w:w="2111" w:type="dxa"/>
            <w:tcBorders>
              <w:top w:val="nil"/>
              <w:left w:val="nil"/>
              <w:bottom w:val="single" w:color="auto" w:sz="4" w:space="0"/>
              <w:right w:val="single" w:color="auto" w:sz="4" w:space="0"/>
            </w:tcBorders>
            <w:vAlign w:val="bottom"/>
          </w:tcPr>
          <w:p>
            <w:pPr>
              <w:widowControl/>
              <w:jc w:val="center"/>
              <w:rPr>
                <w:rFonts w:ascii="宋体" w:cs="宋体"/>
                <w:kern w:val="0"/>
                <w:sz w:val="24"/>
              </w:rPr>
            </w:pPr>
            <w:r>
              <w:rPr>
                <w:rFonts w:ascii="宋体" w:hAnsi="宋体" w:cs="宋体"/>
                <w:kern w:val="0"/>
                <w:sz w:val="24"/>
              </w:rPr>
              <w:t>1</w:t>
            </w:r>
            <w:r>
              <w:rPr>
                <w:rFonts w:hint="eastAsia" w:ascii="宋体" w:hAnsi="宋体" w:cs="宋体"/>
                <w:kern w:val="0"/>
                <w:sz w:val="24"/>
              </w:rPr>
              <w:t>507</w:t>
            </w:r>
          </w:p>
        </w:tc>
        <w:tc>
          <w:tcPr>
            <w:tcW w:w="1960" w:type="dxa"/>
            <w:tcBorders>
              <w:top w:val="nil"/>
              <w:left w:val="nil"/>
              <w:bottom w:val="single" w:color="auto" w:sz="4" w:space="0"/>
              <w:right w:val="single" w:color="auto" w:sz="4" w:space="0"/>
            </w:tcBorders>
            <w:vAlign w:val="bottom"/>
          </w:tcPr>
          <w:p>
            <w:pPr>
              <w:widowControl/>
              <w:jc w:val="center"/>
              <w:rPr>
                <w:rFonts w:ascii="宋体" w:cs="宋体"/>
                <w:kern w:val="0"/>
                <w:sz w:val="24"/>
              </w:rPr>
            </w:pPr>
            <w:r>
              <w:rPr>
                <w:rFonts w:hint="eastAsia" w:ascii="宋体" w:hAnsi="宋体" w:cs="宋体"/>
                <w:kern w:val="0"/>
                <w:sz w:val="24"/>
              </w:rPr>
              <w:t>73.05</w:t>
            </w:r>
            <w:r>
              <w:rPr>
                <w:rFonts w:ascii="宋体" w:hAnsi="宋体" w:cs="宋体"/>
                <w:kern w:val="0"/>
                <w:sz w:val="24"/>
              </w:rPr>
              <w:t>%</w:t>
            </w:r>
          </w:p>
        </w:tc>
        <w:tc>
          <w:tcPr>
            <w:tcW w:w="20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82.45</w:t>
            </w:r>
            <w:r>
              <w:rPr>
                <w:rFonts w:ascii="宋体" w:hAnsi="宋体" w:cs="宋体"/>
                <w:kern w:val="0"/>
                <w:sz w:val="24"/>
              </w:rPr>
              <w:t>%</w:t>
            </w:r>
          </w:p>
        </w:tc>
      </w:tr>
      <w:tr>
        <w:tblPrEx>
          <w:tblLayout w:type="fixed"/>
          <w:tblCellMar>
            <w:top w:w="0" w:type="dxa"/>
            <w:left w:w="108" w:type="dxa"/>
            <w:bottom w:w="0" w:type="dxa"/>
            <w:right w:w="108" w:type="dxa"/>
          </w:tblCellMar>
        </w:tblPrEx>
        <w:trPr>
          <w:trHeight w:val="461" w:hRule="atLeast"/>
        </w:trPr>
        <w:tc>
          <w:tcPr>
            <w:tcW w:w="2880" w:type="dxa"/>
            <w:tcBorders>
              <w:top w:val="nil"/>
              <w:left w:val="single" w:color="auto" w:sz="4" w:space="0"/>
              <w:bottom w:val="single" w:color="auto" w:sz="4" w:space="0"/>
              <w:right w:val="single" w:color="auto" w:sz="4" w:space="0"/>
            </w:tcBorders>
            <w:vAlign w:val="bottom"/>
          </w:tcPr>
          <w:p>
            <w:pPr>
              <w:widowControl/>
              <w:jc w:val="center"/>
              <w:rPr>
                <w:rFonts w:ascii="宋体" w:cs="宋体"/>
                <w:kern w:val="0"/>
                <w:sz w:val="24"/>
              </w:rPr>
            </w:pPr>
            <w:r>
              <w:rPr>
                <w:rFonts w:hint="eastAsia" w:ascii="宋体" w:hAnsi="宋体" w:cs="宋体"/>
                <w:kern w:val="0"/>
                <w:sz w:val="24"/>
              </w:rPr>
              <w:t>升学</w:t>
            </w:r>
          </w:p>
        </w:tc>
        <w:tc>
          <w:tcPr>
            <w:tcW w:w="2111" w:type="dxa"/>
            <w:tcBorders>
              <w:top w:val="nil"/>
              <w:left w:val="nil"/>
              <w:bottom w:val="single" w:color="auto" w:sz="4" w:space="0"/>
              <w:right w:val="single" w:color="auto" w:sz="4" w:space="0"/>
            </w:tcBorders>
            <w:vAlign w:val="bottom"/>
          </w:tcPr>
          <w:p>
            <w:pPr>
              <w:widowControl/>
              <w:jc w:val="center"/>
              <w:rPr>
                <w:rFonts w:ascii="宋体" w:cs="宋体"/>
                <w:kern w:val="0"/>
                <w:sz w:val="24"/>
              </w:rPr>
            </w:pPr>
            <w:r>
              <w:rPr>
                <w:rFonts w:hint="eastAsia" w:ascii="宋体" w:hAnsi="宋体" w:cs="宋体"/>
                <w:kern w:val="0"/>
                <w:sz w:val="24"/>
              </w:rPr>
              <w:t>198</w:t>
            </w:r>
          </w:p>
        </w:tc>
        <w:tc>
          <w:tcPr>
            <w:tcW w:w="1960" w:type="dxa"/>
            <w:tcBorders>
              <w:top w:val="nil"/>
              <w:left w:val="nil"/>
              <w:bottom w:val="single" w:color="auto" w:sz="4" w:space="0"/>
              <w:right w:val="single" w:color="auto" w:sz="4" w:space="0"/>
            </w:tcBorders>
            <w:vAlign w:val="bottom"/>
          </w:tcPr>
          <w:p>
            <w:pPr>
              <w:widowControl/>
              <w:jc w:val="center"/>
              <w:rPr>
                <w:rFonts w:ascii="宋体" w:cs="宋体"/>
                <w:kern w:val="0"/>
                <w:sz w:val="24"/>
              </w:rPr>
            </w:pPr>
            <w:r>
              <w:rPr>
                <w:rFonts w:hint="eastAsia" w:ascii="宋体" w:hAnsi="宋体" w:cs="宋体"/>
                <w:kern w:val="0"/>
                <w:sz w:val="24"/>
              </w:rPr>
              <w:t>9.40</w:t>
            </w:r>
            <w:r>
              <w:rPr>
                <w:rFonts w:ascii="宋体" w:hAnsi="宋体" w:cs="宋体"/>
                <w:kern w:val="0"/>
                <w:sz w:val="24"/>
              </w:rPr>
              <w:t>%</w:t>
            </w:r>
          </w:p>
        </w:tc>
        <w:tc>
          <w:tcPr>
            <w:tcW w:w="20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61" w:hRule="atLeast"/>
        </w:trPr>
        <w:tc>
          <w:tcPr>
            <w:tcW w:w="288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不就业拟升学</w:t>
            </w:r>
          </w:p>
        </w:tc>
        <w:tc>
          <w:tcPr>
            <w:tcW w:w="2111"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4</w:t>
            </w:r>
          </w:p>
        </w:tc>
        <w:tc>
          <w:tcPr>
            <w:tcW w:w="19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0.20%</w:t>
            </w:r>
          </w:p>
        </w:tc>
        <w:tc>
          <w:tcPr>
            <w:tcW w:w="20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37" w:hRule="atLeast"/>
        </w:trPr>
        <w:tc>
          <w:tcPr>
            <w:tcW w:w="2880" w:type="dxa"/>
            <w:tcBorders>
              <w:top w:val="nil"/>
              <w:left w:val="single" w:color="auto" w:sz="4" w:space="0"/>
              <w:bottom w:val="single" w:color="auto" w:sz="4" w:space="0"/>
              <w:right w:val="single" w:color="auto" w:sz="4" w:space="0"/>
            </w:tcBorders>
            <w:vAlign w:val="bottom"/>
          </w:tcPr>
          <w:p>
            <w:pPr>
              <w:widowControl/>
              <w:jc w:val="center"/>
              <w:rPr>
                <w:rFonts w:ascii="宋体" w:cs="宋体"/>
                <w:kern w:val="0"/>
                <w:sz w:val="24"/>
              </w:rPr>
            </w:pPr>
            <w:r>
              <w:rPr>
                <w:rFonts w:hint="eastAsia" w:ascii="宋体" w:hAnsi="宋体" w:cs="宋体"/>
                <w:kern w:val="0"/>
                <w:sz w:val="24"/>
              </w:rPr>
              <w:t>未就业</w:t>
            </w:r>
          </w:p>
        </w:tc>
        <w:tc>
          <w:tcPr>
            <w:tcW w:w="2111" w:type="dxa"/>
            <w:tcBorders>
              <w:top w:val="nil"/>
              <w:left w:val="nil"/>
              <w:bottom w:val="single" w:color="auto" w:sz="4" w:space="0"/>
              <w:right w:val="single" w:color="auto" w:sz="4" w:space="0"/>
            </w:tcBorders>
            <w:vAlign w:val="bottom"/>
          </w:tcPr>
          <w:p>
            <w:pPr>
              <w:widowControl/>
              <w:jc w:val="center"/>
              <w:rPr>
                <w:rFonts w:ascii="宋体" w:cs="宋体"/>
                <w:kern w:val="0"/>
                <w:sz w:val="24"/>
              </w:rPr>
            </w:pPr>
            <w:r>
              <w:rPr>
                <w:rFonts w:hint="eastAsia" w:ascii="宋体" w:hAnsi="宋体" w:cs="宋体"/>
                <w:kern w:val="0"/>
                <w:sz w:val="24"/>
              </w:rPr>
              <w:t>358</w:t>
            </w:r>
          </w:p>
        </w:tc>
        <w:tc>
          <w:tcPr>
            <w:tcW w:w="1960" w:type="dxa"/>
            <w:tcBorders>
              <w:top w:val="nil"/>
              <w:left w:val="nil"/>
              <w:bottom w:val="single" w:color="auto" w:sz="4" w:space="0"/>
              <w:right w:val="single" w:color="auto" w:sz="4" w:space="0"/>
            </w:tcBorders>
            <w:vAlign w:val="bottom"/>
          </w:tcPr>
          <w:p>
            <w:pPr>
              <w:widowControl/>
              <w:jc w:val="center"/>
              <w:rPr>
                <w:rFonts w:ascii="宋体" w:cs="宋体"/>
                <w:kern w:val="0"/>
                <w:sz w:val="24"/>
              </w:rPr>
            </w:pPr>
            <w:r>
              <w:rPr>
                <w:rFonts w:hint="eastAsia" w:ascii="宋体" w:hAnsi="宋体" w:cs="宋体"/>
                <w:kern w:val="0"/>
                <w:sz w:val="24"/>
              </w:rPr>
              <w:t>17.35</w:t>
            </w:r>
            <w:r>
              <w:rPr>
                <w:rFonts w:ascii="宋体" w:hAnsi="宋体" w:cs="宋体"/>
                <w:kern w:val="0"/>
                <w:sz w:val="24"/>
              </w:rPr>
              <w:t>%</w:t>
            </w:r>
          </w:p>
        </w:tc>
        <w:tc>
          <w:tcPr>
            <w:tcW w:w="20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r>
    </w:tbl>
    <w:p>
      <w:pPr>
        <w:jc w:val="center"/>
        <w:rPr>
          <w:rFonts w:ascii="仿宋_GB2312" w:eastAsia="仿宋_GB2312"/>
          <w:color w:val="FF0000"/>
          <w:sz w:val="32"/>
          <w:szCs w:val="32"/>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（二）各二级分院/专业的就业率</w:t>
      </w:r>
    </w:p>
    <w:p>
      <w:pPr>
        <w:ind w:firstLine="640" w:firstLineChars="200"/>
        <w:rPr>
          <w:rFonts w:ascii="仿宋_GB2312" w:eastAsia="仿宋_GB2312"/>
          <w:sz w:val="32"/>
          <w:szCs w:val="32"/>
        </w:rPr>
      </w:pPr>
      <w:r>
        <w:rPr>
          <w:rFonts w:hint="eastAsia" w:ascii="仿宋_GB2312" w:eastAsia="仿宋_GB2312"/>
          <w:sz w:val="32"/>
          <w:szCs w:val="32"/>
        </w:rPr>
        <w:t>1、各二级分院就业率</w:t>
      </w:r>
    </w:p>
    <w:p>
      <w:pPr>
        <w:ind w:firstLine="640" w:firstLineChars="200"/>
        <w:rPr>
          <w:rFonts w:ascii="仿宋_GB2312" w:eastAsia="仿宋_GB2312"/>
          <w:sz w:val="32"/>
          <w:szCs w:val="32"/>
        </w:rPr>
      </w:pPr>
      <w:r>
        <w:rPr>
          <w:rFonts w:hint="eastAsia" w:ascii="仿宋_GB2312" w:eastAsia="仿宋_GB2312"/>
          <w:sz w:val="32"/>
          <w:szCs w:val="32"/>
        </w:rPr>
        <w:t>经济管理学院、会计学院、机电工程学院就业率位居前三名，初次就业率均在82%以上。</w:t>
      </w:r>
    </w:p>
    <w:p>
      <w:pPr>
        <w:jc w:val="center"/>
        <w:rPr>
          <w:rFonts w:ascii="仿宋_GB2312" w:eastAsia="仿宋_GB2312"/>
          <w:color w:val="FF0000"/>
          <w:sz w:val="32"/>
          <w:szCs w:val="32"/>
        </w:rPr>
      </w:pPr>
      <w:r>
        <w:drawing>
          <wp:inline distT="0" distB="0" distL="114300" distR="114300">
            <wp:extent cx="5042535" cy="2112645"/>
            <wp:effectExtent l="4445" t="4445" r="20320"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420" w:firstLineChars="200"/>
        <w:jc w:val="center"/>
        <w:rPr>
          <w:rFonts w:ascii="仿宋_GB2312" w:eastAsia="仿宋_GB2312"/>
          <w:color w:val="FF0000"/>
          <w:sz w:val="32"/>
          <w:szCs w:val="32"/>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2、各专业就业率</w:t>
      </w:r>
    </w:p>
    <w:p>
      <w:pPr>
        <w:ind w:firstLine="640" w:firstLineChars="200"/>
        <w:rPr>
          <w:rFonts w:ascii="仿宋_GB2312" w:eastAsia="仿宋_GB2312"/>
          <w:sz w:val="32"/>
          <w:szCs w:val="32"/>
        </w:rPr>
      </w:pPr>
      <w:r>
        <w:rPr>
          <w:rFonts w:hint="eastAsia" w:ascii="仿宋_GB2312" w:eastAsia="仿宋_GB2312"/>
          <w:sz w:val="32"/>
          <w:szCs w:val="32"/>
        </w:rPr>
        <w:t>旅游管理、机械制造与自动化、食品加工技术三个专业就业率居前三位。</w:t>
      </w:r>
    </w:p>
    <w:tbl>
      <w:tblPr>
        <w:tblStyle w:val="8"/>
        <w:tblW w:w="8662" w:type="dxa"/>
        <w:tblInd w:w="93" w:type="dxa"/>
        <w:tblLayout w:type="fixed"/>
        <w:tblCellMar>
          <w:top w:w="0" w:type="dxa"/>
          <w:left w:w="108" w:type="dxa"/>
          <w:bottom w:w="0" w:type="dxa"/>
          <w:right w:w="108" w:type="dxa"/>
        </w:tblCellMar>
      </w:tblPr>
      <w:tblGrid>
        <w:gridCol w:w="724"/>
        <w:gridCol w:w="2255"/>
        <w:gridCol w:w="1886"/>
        <w:gridCol w:w="1622"/>
        <w:gridCol w:w="1489"/>
        <w:gridCol w:w="686"/>
      </w:tblGrid>
      <w:tr>
        <w:tblPrEx>
          <w:tblLayout w:type="fixed"/>
          <w:tblCellMar>
            <w:top w:w="0" w:type="dxa"/>
            <w:left w:w="108" w:type="dxa"/>
            <w:bottom w:w="0" w:type="dxa"/>
            <w:right w:w="108" w:type="dxa"/>
          </w:tblCellMar>
        </w:tblPrEx>
        <w:trPr>
          <w:trHeight w:val="810" w:hRule="atLeast"/>
        </w:trPr>
        <w:tc>
          <w:tcPr>
            <w:tcW w:w="8662" w:type="dxa"/>
            <w:gridSpan w:val="6"/>
            <w:tcBorders>
              <w:top w:val="nil"/>
              <w:left w:val="nil"/>
              <w:bottom w:val="single" w:color="auto" w:sz="4" w:space="0"/>
              <w:right w:val="nil"/>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2018届毕业生各专业就业率</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rPr>
              <w:t>序号</w:t>
            </w:r>
          </w:p>
        </w:tc>
        <w:tc>
          <w:tcPr>
            <w:tcW w:w="2255"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专业名称</w:t>
            </w:r>
          </w:p>
        </w:tc>
        <w:tc>
          <w:tcPr>
            <w:tcW w:w="1886"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rPr>
            </w:pPr>
            <w:r>
              <w:rPr>
                <w:rFonts w:hint="eastAsia" w:ascii="仿宋" w:hAnsi="仿宋" w:eastAsia="仿宋" w:cs="仿宋"/>
                <w:color w:val="000000"/>
                <w:kern w:val="0"/>
                <w:sz w:val="22"/>
              </w:rPr>
              <w:t>毕业生数（人）</w:t>
            </w:r>
          </w:p>
        </w:tc>
        <w:tc>
          <w:tcPr>
            <w:tcW w:w="1622"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rPr>
            </w:pPr>
            <w:r>
              <w:rPr>
                <w:rFonts w:hint="eastAsia" w:ascii="仿宋" w:hAnsi="仿宋" w:eastAsia="仿宋" w:cs="仿宋"/>
                <w:color w:val="000000"/>
                <w:kern w:val="0"/>
                <w:sz w:val="22"/>
              </w:rPr>
              <w:t>就业数（人）</w:t>
            </w:r>
          </w:p>
        </w:tc>
        <w:tc>
          <w:tcPr>
            <w:tcW w:w="1489"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rPr>
            </w:pPr>
            <w:r>
              <w:rPr>
                <w:rFonts w:hint="eastAsia" w:ascii="仿宋" w:hAnsi="仿宋" w:eastAsia="仿宋" w:cs="仿宋"/>
                <w:color w:val="000000"/>
                <w:kern w:val="0"/>
                <w:sz w:val="22"/>
              </w:rPr>
              <w:t>就业率（%）</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排名</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旅游管理</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70</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68</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97.14%</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w:t>
            </w:r>
          </w:p>
        </w:tc>
      </w:tr>
      <w:tr>
        <w:tblPrEx>
          <w:tblLayout w:type="fixed"/>
          <w:tblCellMar>
            <w:top w:w="0" w:type="dxa"/>
            <w:left w:w="108" w:type="dxa"/>
            <w:bottom w:w="0" w:type="dxa"/>
            <w:right w:w="108" w:type="dxa"/>
          </w:tblCellMar>
        </w:tblPrEx>
        <w:trPr>
          <w:trHeight w:val="360"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c>
          <w:tcPr>
            <w:tcW w:w="2255" w:type="dxa"/>
            <w:tcBorders>
              <w:top w:val="single" w:color="auto" w:sz="4" w:space="0"/>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机械制造及自动化</w:t>
            </w:r>
          </w:p>
        </w:tc>
        <w:tc>
          <w:tcPr>
            <w:tcW w:w="1886" w:type="dxa"/>
            <w:tcBorders>
              <w:top w:val="single" w:color="auto" w:sz="4" w:space="0"/>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25</w:t>
            </w:r>
          </w:p>
        </w:tc>
        <w:tc>
          <w:tcPr>
            <w:tcW w:w="1622" w:type="dxa"/>
            <w:tcBorders>
              <w:top w:val="single" w:color="auto" w:sz="4" w:space="0"/>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24</w:t>
            </w:r>
          </w:p>
        </w:tc>
        <w:tc>
          <w:tcPr>
            <w:tcW w:w="1489" w:type="dxa"/>
            <w:tcBorders>
              <w:top w:val="single" w:color="auto" w:sz="4" w:space="0"/>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96.00%</w:t>
            </w:r>
          </w:p>
        </w:tc>
        <w:tc>
          <w:tcPr>
            <w:tcW w:w="68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食品加工技术</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21</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20</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95.24%</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国际经济与贸易</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40</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38</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95.00%</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5</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会计电算化</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93</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88</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94.62%</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5</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6</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市场营销</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55</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52</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94.55%</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6</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金融与保险</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36</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34</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94.44%</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工程造价</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88</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81</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92.05%</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会计</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293</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269</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91.81%</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10</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物流管理</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43</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39</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90.70%</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10</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11</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投资与理财</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47</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42</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89.36%</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11</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12</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城市轨道交通运营管理</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121</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107</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88.43%</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12</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13</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软件技术</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34</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30</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88.24%</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13</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14</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报关与国际货运</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32</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28</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87.50%</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14</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15</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广告设计与制作</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55</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47</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85.45%</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15</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16</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建筑装饰工程技术</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48</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41</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85.42%</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16</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17</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计算机应用技术</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80</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67</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83.75%</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17</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18</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工商企业管理</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78</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65</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83.33%</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18</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19</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食品营养与检测</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35</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29</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82.86%</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19</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20</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建筑工程技术</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76</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62</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81.58%</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19</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21</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商务英语</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21</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17</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80.95%</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19</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22</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数字媒体技术</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20</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16</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80.00%</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19</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23</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会展策划与管理</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42</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33</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78.57%</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23</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24</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食品质量与安全</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31</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24</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77.42%</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24</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25</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机电一体化技术</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44</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34</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77.27%</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25</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26</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航空服务</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51</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39</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76.47%</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26</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27</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汽车技术服务与营销</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98</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73</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74.49%</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27</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28</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电子信息工程技术</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33</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24</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72.73%</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28</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29</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房地产经营与估价</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31</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22</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70.97%</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29</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30</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物业管理</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24</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17</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70.83%</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30</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31</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物联网应用技术</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34</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24</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70.59%</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31</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32</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园林工程技术</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37</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25</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67.57%</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32</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33</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酒店管理</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65</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43</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66.15%</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33</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34</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财务管理</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70</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46</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65.71%</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34</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35</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数字出版</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22</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14</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63.64%</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35</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36</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电子商务</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52</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31</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59.62%</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36</w:t>
            </w:r>
          </w:p>
        </w:tc>
      </w:tr>
      <w:tr>
        <w:tblPrEx>
          <w:tblLayout w:type="fixed"/>
          <w:tblCellMar>
            <w:top w:w="0" w:type="dxa"/>
            <w:left w:w="108" w:type="dxa"/>
            <w:bottom w:w="0" w:type="dxa"/>
            <w:right w:w="108" w:type="dxa"/>
          </w:tblCellMar>
        </w:tblPrEx>
        <w:trPr>
          <w:trHeight w:val="360"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37</w:t>
            </w:r>
          </w:p>
        </w:tc>
        <w:tc>
          <w:tcPr>
            <w:tcW w:w="2255"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畜牧兽医</w:t>
            </w:r>
          </w:p>
        </w:tc>
        <w:tc>
          <w:tcPr>
            <w:tcW w:w="1886"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18</w:t>
            </w:r>
          </w:p>
        </w:tc>
        <w:tc>
          <w:tcPr>
            <w:tcW w:w="1622"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9</w:t>
            </w:r>
          </w:p>
        </w:tc>
        <w:tc>
          <w:tcPr>
            <w:tcW w:w="1489" w:type="dxa"/>
            <w:tcBorders>
              <w:top w:val="nil"/>
              <w:left w:val="nil"/>
              <w:bottom w:val="single" w:color="auto" w:sz="4" w:space="0"/>
              <w:right w:val="single" w:color="auto" w:sz="4" w:space="0"/>
            </w:tcBorders>
            <w:vAlign w:val="bottom"/>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50.00%</w:t>
            </w:r>
          </w:p>
        </w:tc>
        <w:tc>
          <w:tcPr>
            <w:tcW w:w="68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22"/>
              </w:rPr>
            </w:pPr>
            <w:r>
              <w:rPr>
                <w:rFonts w:hint="eastAsia" w:ascii="仿宋" w:hAnsi="仿宋" w:eastAsia="仿宋" w:cs="仿宋"/>
                <w:color w:val="000000"/>
                <w:kern w:val="0"/>
                <w:sz w:val="22"/>
              </w:rPr>
              <w:t>37</w:t>
            </w:r>
          </w:p>
        </w:tc>
      </w:tr>
    </w:tbl>
    <w:p>
      <w:pPr>
        <w:rPr>
          <w:rFonts w:ascii="Calibri" w:hAnsi="Calibri"/>
          <w:szCs w:val="22"/>
        </w:rPr>
      </w:pPr>
    </w:p>
    <w:p>
      <w:pPr>
        <w:ind w:firstLine="210" w:firstLineChars="100"/>
        <w:jc w:val="center"/>
        <w:rPr>
          <w:rFonts w:ascii="仿宋_GB2312" w:eastAsia="仿宋_GB2312"/>
          <w:color w:val="FF0000"/>
          <w:sz w:val="32"/>
          <w:szCs w:val="32"/>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（三）未就业情况分析</w:t>
      </w:r>
    </w:p>
    <w:p>
      <w:pPr>
        <w:ind w:firstLine="640" w:firstLineChars="200"/>
        <w:rPr>
          <w:rFonts w:ascii="仿宋_GB2312" w:eastAsia="仿宋_GB2312"/>
          <w:sz w:val="32"/>
          <w:szCs w:val="32"/>
        </w:rPr>
      </w:pPr>
      <w:r>
        <w:rPr>
          <w:rFonts w:hint="eastAsia" w:ascii="仿宋_GB2312" w:eastAsia="仿宋_GB2312"/>
          <w:sz w:val="32"/>
          <w:szCs w:val="32"/>
        </w:rPr>
        <w:t>毕业生未就业的主要原因是求职中或正在转换工作的。</w:t>
      </w:r>
    </w:p>
    <w:p>
      <w:pPr>
        <w:jc w:val="center"/>
        <w:rPr>
          <w:rFonts w:ascii="仿宋_GB2312" w:eastAsia="仿宋_GB2312"/>
          <w:color w:val="FF0000"/>
          <w:sz w:val="32"/>
          <w:szCs w:val="32"/>
        </w:rPr>
      </w:pPr>
      <w:r>
        <w:drawing>
          <wp:inline distT="0" distB="0" distL="114300" distR="114300">
            <wp:extent cx="4724400" cy="2153920"/>
            <wp:effectExtent l="4445" t="4445" r="14605" b="1333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420" w:firstLineChars="200"/>
        <w:jc w:val="center"/>
        <w:rPr>
          <w:rFonts w:ascii="仿宋_GB2312" w:eastAsia="仿宋_GB2312"/>
          <w:color w:val="FF0000"/>
          <w:sz w:val="32"/>
          <w:szCs w:val="32"/>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三、就业流向</w:t>
      </w:r>
    </w:p>
    <w:p>
      <w:pPr>
        <w:ind w:firstLine="640" w:firstLineChars="200"/>
        <w:rPr>
          <w:rFonts w:ascii="仿宋_GB2312" w:eastAsia="仿宋_GB2312"/>
          <w:sz w:val="32"/>
          <w:szCs w:val="32"/>
        </w:rPr>
      </w:pPr>
      <w:r>
        <w:rPr>
          <w:rFonts w:hint="eastAsia" w:ascii="仿宋_GB2312" w:eastAsia="仿宋_GB2312"/>
          <w:sz w:val="32"/>
          <w:szCs w:val="32"/>
        </w:rPr>
        <w:t>（一）单位就业</w:t>
      </w:r>
    </w:p>
    <w:p>
      <w:pPr>
        <w:ind w:firstLine="640" w:firstLineChars="200"/>
        <w:rPr>
          <w:rFonts w:ascii="仿宋_GB2312" w:eastAsia="仿宋_GB2312"/>
          <w:sz w:val="32"/>
          <w:szCs w:val="32"/>
        </w:rPr>
      </w:pPr>
      <w:r>
        <w:rPr>
          <w:rFonts w:hint="eastAsia" w:ascii="仿宋_GB2312" w:eastAsia="仿宋_GB2312"/>
          <w:sz w:val="32"/>
          <w:szCs w:val="32"/>
        </w:rPr>
        <w:t>1、就业地区流向</w:t>
      </w:r>
    </w:p>
    <w:p>
      <w:pPr>
        <w:ind w:firstLine="640" w:firstLineChars="200"/>
        <w:rPr>
          <w:rFonts w:ascii="仿宋_GB2312" w:eastAsia="仿宋_GB2312"/>
          <w:sz w:val="32"/>
          <w:szCs w:val="32"/>
        </w:rPr>
      </w:pPr>
      <w:r>
        <w:rPr>
          <w:rFonts w:hint="eastAsia" w:ascii="仿宋_GB2312" w:eastAsia="仿宋_GB2312"/>
          <w:sz w:val="32"/>
          <w:szCs w:val="32"/>
        </w:rPr>
        <w:t>省内就业为主，服务地方区域经济发展；省内就业主要流向长春市。</w:t>
      </w:r>
    </w:p>
    <w:p>
      <w:pPr>
        <w:jc w:val="center"/>
        <w:rPr>
          <w:rFonts w:ascii="仿宋_GB2312" w:eastAsia="仿宋_GB2312"/>
          <w:color w:val="FF0000"/>
          <w:sz w:val="32"/>
          <w:szCs w:val="32"/>
        </w:rPr>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firstLine="420" w:firstLineChars="200"/>
        <w:jc w:val="center"/>
        <w:rPr>
          <w:rFonts w:ascii="仿宋_GB2312" w:eastAsia="仿宋_GB2312"/>
          <w:color w:val="FF0000"/>
          <w:sz w:val="32"/>
          <w:szCs w:val="32"/>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2、就业单位流向</w:t>
      </w:r>
    </w:p>
    <w:p>
      <w:pPr>
        <w:ind w:firstLine="640" w:firstLineChars="200"/>
      </w:pPr>
      <w:r>
        <w:rPr>
          <w:rFonts w:hint="eastAsia" w:ascii="仿宋_GB2312" w:eastAsia="仿宋_GB2312"/>
          <w:sz w:val="32"/>
          <w:szCs w:val="32"/>
        </w:rPr>
        <w:t>主要流向单位以企业为主，其中民营企业占比最高，其次为其他和三资企业。</w:t>
      </w:r>
    </w:p>
    <w:p>
      <w:pPr>
        <w:jc w:val="center"/>
        <w:rPr>
          <w:rFonts w:ascii="仿宋_GB2312" w:eastAsia="仿宋_GB2312"/>
          <w:color w:val="FF0000"/>
          <w:sz w:val="32"/>
          <w:szCs w:val="32"/>
        </w:rPr>
      </w:pPr>
      <w:r>
        <w:drawing>
          <wp:inline distT="0" distB="0" distL="114300" distR="114300">
            <wp:extent cx="5115560" cy="2406015"/>
            <wp:effectExtent l="4445" t="4445" r="23495" b="889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ind w:firstLine="420" w:firstLineChars="200"/>
        <w:jc w:val="center"/>
        <w:rPr>
          <w:rFonts w:ascii="仿宋_GB2312" w:eastAsia="仿宋_GB2312"/>
          <w:color w:val="FF0000"/>
          <w:sz w:val="32"/>
          <w:szCs w:val="32"/>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3、就业行业流向</w:t>
      </w:r>
    </w:p>
    <w:p>
      <w:pPr>
        <w:ind w:firstLine="640" w:firstLineChars="200"/>
        <w:rPr>
          <w:rFonts w:ascii="仿宋_GB2312" w:eastAsia="仿宋_GB2312"/>
          <w:sz w:val="32"/>
          <w:szCs w:val="32"/>
        </w:rPr>
      </w:pPr>
      <w:r>
        <w:rPr>
          <w:rFonts w:hint="eastAsia" w:ascii="仿宋_GB2312" w:eastAsia="仿宋_GB2312"/>
          <w:sz w:val="32"/>
          <w:szCs w:val="32"/>
        </w:rPr>
        <w:t>毕业生主要集中在信息传输和软件信息技术服务业、批发和零售业、建筑业。</w:t>
      </w:r>
    </w:p>
    <w:p>
      <w:pPr>
        <w:jc w:val="center"/>
        <w:rPr>
          <w:rFonts w:ascii="仿宋_GB2312" w:eastAsia="仿宋_GB2312"/>
          <w:color w:val="FF0000"/>
          <w:sz w:val="32"/>
          <w:szCs w:val="32"/>
        </w:rPr>
      </w:pPr>
      <w:r>
        <w:drawing>
          <wp:inline distT="0" distB="0" distL="114300" distR="114300">
            <wp:extent cx="5154295" cy="3653155"/>
            <wp:effectExtent l="4445" t="4445" r="22860" b="19050"/>
            <wp:docPr id="1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ind w:firstLine="420" w:firstLineChars="200"/>
        <w:jc w:val="center"/>
        <w:rPr>
          <w:rFonts w:ascii="仿宋_GB2312" w:eastAsia="仿宋_GB2312"/>
          <w:color w:val="FF0000"/>
          <w:sz w:val="32"/>
          <w:szCs w:val="32"/>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4、就业职业流向</w:t>
      </w:r>
    </w:p>
    <w:p>
      <w:pPr>
        <w:ind w:firstLine="640" w:firstLineChars="200"/>
        <w:rPr>
          <w:rFonts w:ascii="仿宋_GB2312" w:eastAsia="仿宋_GB2312"/>
          <w:sz w:val="32"/>
          <w:szCs w:val="32"/>
        </w:rPr>
      </w:pPr>
      <w:r>
        <w:rPr>
          <w:rFonts w:hint="eastAsia" w:ascii="仿宋_GB2312" w:eastAsia="仿宋_GB2312"/>
          <w:sz w:val="32"/>
          <w:szCs w:val="32"/>
        </w:rPr>
        <w:t>毕业生主要为其他人员、商业和服务业人员、工程技术人员。</w:t>
      </w:r>
    </w:p>
    <w:p>
      <w:pPr>
        <w:jc w:val="center"/>
        <w:rPr>
          <w:rFonts w:ascii="仿宋_GB2312" w:eastAsia="仿宋_GB2312"/>
          <w:color w:val="FF0000"/>
          <w:sz w:val="32"/>
          <w:szCs w:val="32"/>
        </w:rPr>
      </w:pPr>
      <w:r>
        <w:drawing>
          <wp:inline distT="0" distB="0" distL="114300" distR="114300">
            <wp:extent cx="5107305" cy="2846070"/>
            <wp:effectExtent l="4445" t="4445" r="12700" b="6985"/>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ind w:firstLine="420" w:firstLineChars="200"/>
        <w:jc w:val="center"/>
        <w:rPr>
          <w:rFonts w:ascii="仿宋_GB2312" w:eastAsia="仿宋_GB2312"/>
          <w:color w:val="FF0000"/>
          <w:sz w:val="32"/>
          <w:szCs w:val="32"/>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（二）升学</w:t>
      </w:r>
    </w:p>
    <w:p>
      <w:pPr>
        <w:ind w:firstLine="640" w:firstLineChars="200"/>
        <w:rPr>
          <w:rFonts w:ascii="仿宋_GB2312" w:eastAsia="仿宋_GB2312"/>
          <w:sz w:val="32"/>
          <w:szCs w:val="32"/>
        </w:rPr>
      </w:pPr>
      <w:r>
        <w:rPr>
          <w:rFonts w:hint="eastAsia" w:ascii="仿宋_GB2312" w:eastAsia="仿宋_GB2312"/>
          <w:sz w:val="32"/>
          <w:szCs w:val="32"/>
        </w:rPr>
        <w:t>参与2018届毕业生就业质量调查的毕业生中有83人通过专升本考试继续升学，所占比例为4.02%。</w:t>
      </w:r>
    </w:p>
    <w:p>
      <w:pPr>
        <w:ind w:firstLine="640" w:firstLineChars="200"/>
      </w:pPr>
      <w:r>
        <w:rPr>
          <w:rFonts w:hint="eastAsia" w:ascii="仿宋_GB2312" w:eastAsia="仿宋_GB2312"/>
          <w:sz w:val="32"/>
          <w:szCs w:val="32"/>
        </w:rPr>
        <w:t>升学原因主要是想增加择业成本，立足高起点。</w:t>
      </w:r>
    </w:p>
    <w:p>
      <w:pPr>
        <w:jc w:val="center"/>
        <w:rPr>
          <w:rFonts w:ascii="仿宋_GB2312" w:eastAsia="仿宋_GB2312"/>
          <w:color w:val="FF0000"/>
          <w:sz w:val="32"/>
          <w:szCs w:val="32"/>
        </w:rPr>
      </w:pPr>
      <w:r>
        <w:drawing>
          <wp:inline distT="0" distB="0" distL="114300" distR="114300">
            <wp:extent cx="4975860" cy="2543810"/>
            <wp:effectExtent l="4445" t="4445" r="10795" b="2349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ind w:firstLine="420" w:firstLineChars="200"/>
        <w:jc w:val="center"/>
        <w:rPr>
          <w:rFonts w:ascii="黑体" w:eastAsia="黑体"/>
          <w:sz w:val="32"/>
          <w:szCs w:val="32"/>
        </w:rPr>
      </w:pPr>
      <w:r>
        <w:rPr>
          <w:rFonts w:hint="eastAsia" w:ascii="仿宋_GB2312" w:eastAsia="仿宋_GB2312"/>
          <w:color w:val="FF0000"/>
          <w:szCs w:val="21"/>
        </w:rPr>
        <w:t>数据来源：吉林省经济管理干部学院就业办公系统</w:t>
      </w:r>
    </w:p>
    <w:p>
      <w:pPr>
        <w:jc w:val="center"/>
        <w:rPr>
          <w:rFonts w:ascii="黑体" w:eastAsia="黑体"/>
          <w:sz w:val="32"/>
          <w:szCs w:val="32"/>
        </w:rPr>
      </w:pPr>
      <w:r>
        <w:rPr>
          <w:rFonts w:hint="eastAsia" w:ascii="黑体" w:eastAsia="黑体"/>
          <w:sz w:val="32"/>
          <w:szCs w:val="32"/>
        </w:rPr>
        <w:t>第四章 就业工作特色</w:t>
      </w:r>
    </w:p>
    <w:p>
      <w:pPr>
        <w:ind w:firstLine="640" w:firstLineChars="200"/>
        <w:rPr>
          <w:rFonts w:ascii="仿宋_GB2312" w:eastAsia="仿宋_GB2312"/>
          <w:sz w:val="32"/>
          <w:szCs w:val="32"/>
        </w:rPr>
      </w:pPr>
      <w:r>
        <w:rPr>
          <w:rFonts w:hint="eastAsia" w:ascii="仿宋_GB2312" w:eastAsia="仿宋_GB2312"/>
          <w:sz w:val="32"/>
          <w:szCs w:val="32"/>
        </w:rPr>
        <w:t>学院始终高度重视毕业生就业创业工作，坚持“政校企合作，理论实践互联”， 构建“领导主抓、部门统筹、分院为主、全员参与”的就业工作格局，建立“招生-培养-就业”三级联动就业创业工作机制，形成了以“多元、灵活、高效”为特色的就业创业服务体系，不断促进学生个性化、均衡化发展，全面提高学生就业竞争力，实现人才培养体系的多样化，不断满足学生多元化发展需求。</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一、夯实</w:t>
      </w:r>
      <w:r>
        <w:rPr>
          <w:rFonts w:hint="eastAsia" w:ascii="仿宋_GB2312" w:hAnsi="黑体" w:eastAsia="仿宋_GB2312" w:cs="宋体"/>
          <w:b/>
          <w:kern w:val="0"/>
          <w:sz w:val="32"/>
          <w:szCs w:val="32"/>
        </w:rPr>
        <w:t>“一把手工程”，实现就业保障责任化</w:t>
      </w:r>
    </w:p>
    <w:p>
      <w:pPr>
        <w:widowControl/>
        <w:ind w:firstLine="640" w:firstLineChars="200"/>
        <w:jc w:val="left"/>
        <w:rPr>
          <w:rFonts w:ascii="仿宋" w:hAnsi="仿宋" w:eastAsia="仿宋" w:cs="仿宋"/>
          <w:sz w:val="32"/>
          <w:szCs w:val="32"/>
        </w:rPr>
      </w:pPr>
      <w:r>
        <w:rPr>
          <w:rFonts w:hint="eastAsia" w:ascii="仿宋_GB2312" w:hAnsi="黑体" w:eastAsia="仿宋_GB2312" w:cs="宋体"/>
          <w:bCs/>
          <w:kern w:val="0"/>
          <w:sz w:val="32"/>
          <w:szCs w:val="32"/>
        </w:rPr>
        <w:t>就业工作实行目标责任管理，</w:t>
      </w:r>
      <w:r>
        <w:rPr>
          <w:rFonts w:hint="eastAsia" w:ascii="仿宋_GB2312" w:hAnsi="黑体" w:eastAsia="仿宋_GB2312" w:cs="宋体"/>
          <w:kern w:val="0"/>
          <w:sz w:val="32"/>
          <w:szCs w:val="32"/>
        </w:rPr>
        <w:t>每年由学院与各分院明确就业创业目标责任，凡8月底未完成年度目标任务的，约谈诫勉负责人。</w:t>
      </w:r>
      <w:r>
        <w:rPr>
          <w:rFonts w:hint="eastAsia" w:ascii="仿宋" w:hAnsi="仿宋" w:eastAsia="仿宋" w:cs="仿宋"/>
          <w:sz w:val="32"/>
          <w:szCs w:val="32"/>
        </w:rPr>
        <w:t>一切工作按照学院统管、职能部门和各分院分工负责、紧密配合的原则进行，对就业工作常抓不懈。</w:t>
      </w:r>
    </w:p>
    <w:p>
      <w:pPr>
        <w:widowControl/>
        <w:ind w:firstLine="640" w:firstLineChars="200"/>
        <w:jc w:val="left"/>
        <w:rPr>
          <w:rFonts w:ascii="仿宋" w:hAnsi="仿宋" w:eastAsia="仿宋" w:cs="仿宋"/>
          <w:sz w:val="32"/>
          <w:szCs w:val="32"/>
        </w:rPr>
      </w:pPr>
      <w:r>
        <w:rPr>
          <w:rFonts w:hint="eastAsia" w:ascii="仿宋_GB2312" w:hAnsi="黑体" w:eastAsia="仿宋_GB2312" w:cs="宋体"/>
          <w:kern w:val="0"/>
          <w:sz w:val="32"/>
          <w:szCs w:val="32"/>
        </w:rPr>
        <w:t>“一把手”责任的落实，</w:t>
      </w:r>
      <w:r>
        <w:rPr>
          <w:rFonts w:hint="eastAsia" w:ascii="仿宋" w:hAnsi="仿宋" w:eastAsia="仿宋" w:cs="仿宋"/>
          <w:sz w:val="32"/>
          <w:szCs w:val="32"/>
        </w:rPr>
        <w:t>为</w:t>
      </w:r>
      <w:r>
        <w:rPr>
          <w:rFonts w:hint="eastAsia" w:ascii="仿宋" w:hAnsi="仿宋" w:eastAsia="仿宋" w:cs="仿宋"/>
          <w:color w:val="000000"/>
          <w:sz w:val="32"/>
          <w:szCs w:val="32"/>
        </w:rPr>
        <w:t>不断提高人才培养质量、完善就业工作体制、促进毕业生充分就业提供制度保障，</w:t>
      </w:r>
      <w:r>
        <w:rPr>
          <w:rFonts w:hint="eastAsia" w:ascii="仿宋_GB2312" w:hAnsi="黑体" w:eastAsia="仿宋_GB2312" w:cs="宋体"/>
          <w:kern w:val="0"/>
          <w:sz w:val="32"/>
          <w:szCs w:val="32"/>
        </w:rPr>
        <w:t>确保了学院就业工作“机构、人员、场地、经费”四到位并顺利开展。</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二、科学规划、明晰职责，实现就业服务专业化</w:t>
      </w:r>
    </w:p>
    <w:p>
      <w:pPr>
        <w:ind w:firstLine="640" w:firstLineChars="200"/>
        <w:rPr>
          <w:rFonts w:ascii="仿宋" w:hAnsi="仿宋" w:eastAsia="仿宋" w:cs="仿宋"/>
          <w:sz w:val="32"/>
          <w:szCs w:val="32"/>
        </w:rPr>
      </w:pPr>
      <w:r>
        <w:rPr>
          <w:rFonts w:hint="eastAsia" w:ascii="仿宋" w:hAnsi="仿宋" w:eastAsia="仿宋" w:cs="仿宋"/>
          <w:sz w:val="32"/>
          <w:szCs w:val="32"/>
        </w:rPr>
        <w:t>（一）完善规章制度，确保就业管理规范化运行。招生就业处结合学院实际情况制定了《吉林省经济管理干部学院毕业生就业工作管理办法（试行）》和《吉林省经济管理干部学院就业管理工作手册》，使学院就业工作逐步科学化、系统化、规范化、专业化。</w:t>
      </w:r>
    </w:p>
    <w:p>
      <w:pPr>
        <w:ind w:firstLine="640" w:firstLineChars="200"/>
        <w:rPr>
          <w:rFonts w:ascii="仿宋" w:hAnsi="仿宋" w:eastAsia="仿宋" w:cs="仿宋"/>
          <w:sz w:val="32"/>
          <w:szCs w:val="32"/>
        </w:rPr>
      </w:pPr>
      <w:r>
        <w:rPr>
          <w:rFonts w:hint="eastAsia" w:ascii="仿宋" w:hAnsi="仿宋" w:eastAsia="仿宋" w:cs="仿宋"/>
          <w:sz w:val="32"/>
          <w:szCs w:val="32"/>
        </w:rPr>
        <w:t>（二）不断提高就业管理信息化水平，建立并完善各类《信息数据库》。指派专人及时更新、审核就业信息等数据，切实提高就业管理信息化水平；</w:t>
      </w:r>
    </w:p>
    <w:p>
      <w:pPr>
        <w:pStyle w:val="13"/>
        <w:ind w:firstLine="640"/>
        <w:rPr>
          <w:rFonts w:ascii="仿宋" w:hAnsi="仿宋" w:eastAsia="仿宋"/>
          <w:bCs/>
          <w:sz w:val="32"/>
          <w:szCs w:val="32"/>
        </w:rPr>
      </w:pPr>
      <w:r>
        <w:rPr>
          <w:rFonts w:hint="eastAsia" w:ascii="仿宋" w:hAnsi="仿宋" w:eastAsia="仿宋" w:cs="仿宋"/>
          <w:sz w:val="32"/>
          <w:szCs w:val="32"/>
        </w:rPr>
        <w:t>（三）针对困难群体进行就业帮扶，做到“暖心就业”。高度重视对困难群体的帮助，在提高就业技能的同时，</w:t>
      </w:r>
      <w:r>
        <w:rPr>
          <w:rFonts w:hint="eastAsia" w:ascii="仿宋" w:hAnsi="仿宋" w:eastAsia="仿宋" w:cs="仿宋"/>
          <w:color w:val="000000"/>
          <w:sz w:val="32"/>
          <w:szCs w:val="32"/>
        </w:rPr>
        <w:t>开展细致化、差异化服务，</w:t>
      </w:r>
      <w:r>
        <w:rPr>
          <w:rFonts w:hint="eastAsia" w:ascii="仿宋" w:hAnsi="仿宋" w:eastAsia="仿宋" w:cs="仿宋"/>
          <w:sz w:val="32"/>
          <w:szCs w:val="32"/>
        </w:rPr>
        <w:t>保证他们100%就业。</w:t>
      </w:r>
    </w:p>
    <w:p>
      <w:pPr>
        <w:pStyle w:val="13"/>
        <w:ind w:left="420" w:leftChars="200" w:firstLine="321" w:firstLineChars="100"/>
        <w:rPr>
          <w:rFonts w:ascii="仿宋" w:hAnsi="仿宋" w:eastAsia="仿宋"/>
          <w:b/>
          <w:sz w:val="32"/>
          <w:szCs w:val="32"/>
        </w:rPr>
      </w:pPr>
      <w:r>
        <w:rPr>
          <w:rFonts w:hint="eastAsia" w:ascii="仿宋" w:hAnsi="仿宋" w:eastAsia="仿宋"/>
          <w:b/>
          <w:sz w:val="32"/>
          <w:szCs w:val="32"/>
        </w:rPr>
        <w:t>三、精心组织，分类实施，实现就业指导全程化</w:t>
      </w:r>
    </w:p>
    <w:p>
      <w:pPr>
        <w:pStyle w:val="13"/>
        <w:ind w:firstLine="640"/>
        <w:rPr>
          <w:rFonts w:ascii="仿宋" w:hAnsi="仿宋" w:eastAsia="仿宋" w:cs="仿宋"/>
          <w:sz w:val="32"/>
          <w:szCs w:val="32"/>
        </w:rPr>
      </w:pPr>
      <w:r>
        <w:rPr>
          <w:rFonts w:hint="eastAsia" w:ascii="仿宋" w:hAnsi="仿宋" w:eastAsia="仿宋"/>
          <w:bCs/>
          <w:sz w:val="32"/>
          <w:szCs w:val="32"/>
        </w:rPr>
        <w:t>（一）</w:t>
      </w:r>
      <w:r>
        <w:rPr>
          <w:rFonts w:hint="eastAsia" w:ascii="仿宋_GB2312" w:hAnsi="仿宋" w:eastAsia="仿宋_GB2312"/>
          <w:sz w:val="32"/>
          <w:szCs w:val="32"/>
        </w:rPr>
        <w:t>构建就业指导教育与立德树人相互渗透、相互融合的平台。</w:t>
      </w:r>
      <w:r>
        <w:rPr>
          <w:rFonts w:hint="eastAsia" w:ascii="仿宋" w:hAnsi="仿宋" w:eastAsia="仿宋"/>
          <w:bCs/>
          <w:sz w:val="32"/>
          <w:szCs w:val="32"/>
        </w:rPr>
        <w:t>根据就业市场的不断变化，我们坚持不断创新方式方法，是学生不断</w:t>
      </w:r>
      <w:r>
        <w:rPr>
          <w:rFonts w:hint="eastAsia" w:ascii="仿宋" w:hAnsi="仿宋" w:eastAsia="仿宋" w:cs="仿宋"/>
          <w:sz w:val="32"/>
          <w:szCs w:val="32"/>
        </w:rPr>
        <w:t>增强求职技能，充分做好就业前的准备，不断打造就业服务新内涵。</w:t>
      </w:r>
    </w:p>
    <w:p>
      <w:pPr>
        <w:pStyle w:val="13"/>
        <w:ind w:firstLine="640"/>
        <w:rPr>
          <w:rFonts w:ascii="仿宋" w:hAnsi="仿宋" w:eastAsia="仿宋"/>
          <w:bCs/>
          <w:sz w:val="32"/>
          <w:szCs w:val="32"/>
        </w:rPr>
      </w:pPr>
      <w:r>
        <w:rPr>
          <w:rFonts w:hint="eastAsia" w:ascii="仿宋" w:hAnsi="仿宋" w:eastAsia="仿宋" w:cs="仿宋"/>
          <w:sz w:val="32"/>
          <w:szCs w:val="32"/>
        </w:rPr>
        <w:t>（二）创新开展形式多样、全员参与的就业指导课。</w:t>
      </w:r>
      <w:r>
        <w:rPr>
          <w:rFonts w:hint="eastAsia" w:ascii="仿宋_GB2312" w:hAnsi="宋体" w:eastAsia="仿宋_GB2312" w:cs="宋体"/>
          <w:kern w:val="0"/>
          <w:sz w:val="32"/>
          <w:szCs w:val="32"/>
        </w:rPr>
        <w:t>将就业指导关口前移，注重全程化指导，实行全员辅导制，根据不同年级、不同人群，开展进阶式、精细化个体指导。开设就业相关课程，分类开展政策咨询、学业发展、行业前景、赛事实践、求职技能、升学讲座等就业指导活动，最大程度满足不同年级的学生所需。</w:t>
      </w:r>
    </w:p>
    <w:p>
      <w:pPr>
        <w:pStyle w:val="13"/>
        <w:ind w:left="420" w:leftChars="200" w:firstLine="321" w:firstLineChars="100"/>
        <w:rPr>
          <w:rFonts w:ascii="仿宋" w:hAnsi="仿宋" w:eastAsia="仿宋"/>
          <w:b/>
          <w:sz w:val="32"/>
          <w:szCs w:val="32"/>
        </w:rPr>
      </w:pPr>
      <w:bookmarkStart w:id="0" w:name="_GoBack"/>
      <w:bookmarkEnd w:id="0"/>
      <w:r>
        <w:rPr>
          <w:rFonts w:hint="eastAsia" w:ascii="仿宋" w:hAnsi="仿宋" w:eastAsia="仿宋"/>
          <w:b/>
          <w:sz w:val="32"/>
          <w:szCs w:val="32"/>
          <w:lang w:val="en-US" w:eastAsia="zh-CN"/>
        </w:rPr>
        <w:t>四、</w:t>
      </w:r>
      <w:r>
        <w:rPr>
          <w:rFonts w:hint="eastAsia" w:ascii="仿宋" w:hAnsi="仿宋" w:eastAsia="仿宋"/>
          <w:b/>
          <w:sz w:val="32"/>
          <w:szCs w:val="32"/>
        </w:rPr>
        <w:t>多措并举，抢占先机，实现就业市场精细化</w:t>
      </w:r>
    </w:p>
    <w:p>
      <w:pPr>
        <w:pStyle w:val="13"/>
        <w:ind w:left="0" w:leftChars="0" w:firstLine="640" w:firstLineChars="200"/>
        <w:rPr>
          <w:rFonts w:ascii="仿宋" w:hAnsi="仿宋" w:eastAsia="仿宋"/>
          <w:bCs/>
          <w:sz w:val="32"/>
          <w:szCs w:val="32"/>
        </w:rPr>
      </w:pPr>
      <w:r>
        <w:rPr>
          <w:rFonts w:hint="eastAsia" w:ascii="仿宋" w:hAnsi="仿宋" w:eastAsia="仿宋"/>
          <w:bCs/>
          <w:sz w:val="32"/>
          <w:szCs w:val="32"/>
        </w:rPr>
        <w:t>（一）持续加强实习+就业基地建设。学院以服务为宗旨，以就业为导向，充分利用学校、企业在资源上的各自优势，从本质上解决学校教育和社会需求脱节的问题，在不断提高学生就业竞争力的同时，也是起到了对就业的拉动、衍生作用。在不断深化校企合作机制的同时，充分发挥招生-培养-就业的联动效应。</w:t>
      </w:r>
    </w:p>
    <w:p>
      <w:pPr>
        <w:pStyle w:val="13"/>
        <w:rPr>
          <w:rFonts w:ascii="仿宋" w:hAnsi="仿宋" w:eastAsia="仿宋"/>
          <w:bCs/>
          <w:sz w:val="32"/>
          <w:szCs w:val="32"/>
        </w:rPr>
      </w:pPr>
      <w:r>
        <w:rPr>
          <w:rFonts w:hint="eastAsia" w:ascii="仿宋" w:hAnsi="仿宋" w:eastAsia="仿宋"/>
          <w:bCs/>
          <w:sz w:val="32"/>
          <w:szCs w:val="32"/>
        </w:rPr>
        <w:t>（二）充分应用“互联网+就业”模式，积极开展、组织各类别校园活动和网上招聘活动，打造立体化就业市场。学院坚持以小型专场招聘会为主、线上招聘为辅，以就业招聘活动月为依托，以兄弟院校、省市人才和行业协会组织的招聘活动为补充，全力组织好大型校院招聘会，保证毕业生就业。</w:t>
      </w:r>
    </w:p>
    <w:p>
      <w:pPr>
        <w:pStyle w:val="13"/>
        <w:ind w:firstLine="0" w:firstLineChars="0"/>
        <w:rPr>
          <w:rFonts w:ascii="仿宋" w:hAnsi="仿宋" w:eastAsia="仿宋"/>
          <w:bCs/>
          <w:sz w:val="32"/>
          <w:szCs w:val="32"/>
        </w:rPr>
      </w:pPr>
      <w:r>
        <w:rPr>
          <w:rFonts w:hint="eastAsia" w:ascii="仿宋" w:hAnsi="仿宋" w:eastAsia="仿宋"/>
          <w:bCs/>
          <w:sz w:val="32"/>
          <w:szCs w:val="32"/>
        </w:rPr>
        <w:t xml:space="preserve">    （三） 利用各种网络信息平台拓宽就业渠道。一是积极引导学生利用前程无忧、智联招聘等参与网上求职，扩大就业市场。二是定期、不定期将就业信息汇总，通过学院就业信息网、qq群、微信公众号第一时间将相关信息、政策、动态推送到每位学生手里。</w:t>
      </w:r>
    </w:p>
    <w:p>
      <w:pPr>
        <w:ind w:left="420"/>
        <w:jc w:val="center"/>
        <w:rPr>
          <w:rFonts w:ascii="黑体" w:eastAsia="黑体"/>
          <w:sz w:val="32"/>
          <w:szCs w:val="32"/>
        </w:rPr>
      </w:pPr>
      <w:r>
        <w:rPr>
          <w:rFonts w:hint="eastAsia" w:ascii="黑体" w:eastAsia="黑体"/>
          <w:sz w:val="32"/>
          <w:szCs w:val="32"/>
        </w:rPr>
        <w:t>第五章 就业相关分析</w:t>
      </w:r>
    </w:p>
    <w:p>
      <w:pPr>
        <w:ind w:firstLine="640" w:firstLineChars="200"/>
        <w:rPr>
          <w:rFonts w:ascii="仿宋_GB2312" w:eastAsia="仿宋_GB2312"/>
          <w:sz w:val="32"/>
          <w:szCs w:val="32"/>
        </w:rPr>
      </w:pPr>
      <w:r>
        <w:rPr>
          <w:rFonts w:hint="eastAsia" w:ascii="仿宋_GB2312" w:eastAsia="仿宋_GB2312"/>
          <w:sz w:val="32"/>
          <w:szCs w:val="32"/>
        </w:rPr>
        <w:t>总的来看，通过对学院2018届毕业生就业质量调查发现，2018届毕业生就业质量仍然是稳中增长。</w:t>
      </w:r>
    </w:p>
    <w:p>
      <w:pPr>
        <w:ind w:firstLine="640" w:firstLineChars="200"/>
        <w:rPr>
          <w:rFonts w:ascii="仿宋_GB2312" w:eastAsia="仿宋_GB2312"/>
          <w:sz w:val="32"/>
          <w:szCs w:val="32"/>
        </w:rPr>
      </w:pPr>
      <w:r>
        <w:rPr>
          <w:rFonts w:hint="eastAsia" w:ascii="仿宋_GB2312" w:eastAsia="仿宋_GB2312"/>
          <w:sz w:val="32"/>
          <w:szCs w:val="32"/>
        </w:rPr>
        <w:t>一、薪酬水平</w:t>
      </w:r>
    </w:p>
    <w:p>
      <w:pPr>
        <w:ind w:firstLine="640" w:firstLineChars="200"/>
        <w:rPr>
          <w:rFonts w:ascii="仿宋_GB2312" w:eastAsia="仿宋_GB2312"/>
          <w:sz w:val="32"/>
          <w:szCs w:val="32"/>
        </w:rPr>
      </w:pPr>
      <w:r>
        <w:rPr>
          <w:rFonts w:hint="eastAsia" w:ascii="仿宋_GB2312" w:eastAsia="仿宋_GB2312"/>
          <w:sz w:val="32"/>
          <w:szCs w:val="32"/>
        </w:rPr>
        <w:t>2018届毕业生转正后的月均收入为2580元；月薪在2500-3500元区间的毕业生较集中。</w:t>
      </w:r>
    </w:p>
    <w:p>
      <w:pPr>
        <w:jc w:val="center"/>
        <w:rPr>
          <w:rFonts w:ascii="仿宋_GB2312" w:eastAsia="仿宋_GB2312"/>
          <w:sz w:val="32"/>
          <w:szCs w:val="32"/>
        </w:rPr>
      </w:pPr>
      <w:r>
        <w:drawing>
          <wp:inline distT="0" distB="0" distL="114300" distR="114300">
            <wp:extent cx="4945380" cy="2924810"/>
            <wp:effectExtent l="4445" t="4445" r="22225" b="23495"/>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center"/>
        <w:rPr>
          <w:rFonts w:ascii="仿宋_GB2312" w:eastAsia="仿宋_GB2312"/>
          <w:color w:val="FF0000"/>
          <w:szCs w:val="21"/>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二、专业对口度</w:t>
      </w:r>
    </w:p>
    <w:p>
      <w:pPr>
        <w:ind w:firstLine="640" w:firstLineChars="200"/>
      </w:pPr>
      <w:r>
        <w:rPr>
          <w:rFonts w:hint="eastAsia" w:ascii="仿宋_GB2312" w:eastAsia="仿宋_GB2312"/>
          <w:sz w:val="32"/>
          <w:szCs w:val="32"/>
        </w:rPr>
        <w:t>2018届毕业生专业对口度为91%。</w:t>
      </w:r>
    </w:p>
    <w:p>
      <w:pPr>
        <w:jc w:val="center"/>
        <w:rPr>
          <w:rFonts w:ascii="仿宋_GB2312" w:eastAsia="仿宋_GB2312"/>
          <w:color w:val="FF0000"/>
          <w:sz w:val="32"/>
          <w:szCs w:val="32"/>
        </w:rPr>
      </w:pPr>
      <w:r>
        <w:drawing>
          <wp:inline distT="0" distB="0" distL="114300" distR="114300">
            <wp:extent cx="4589145" cy="2433320"/>
            <wp:effectExtent l="4445" t="5080" r="16510" b="19050"/>
            <wp:docPr id="1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jc w:val="center"/>
        <w:rPr>
          <w:rFonts w:ascii="仿宋_GB2312" w:eastAsia="仿宋_GB2312"/>
          <w:color w:val="FF0000"/>
          <w:szCs w:val="21"/>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三、就业满意度</w:t>
      </w:r>
    </w:p>
    <w:p>
      <w:pPr>
        <w:ind w:firstLine="640" w:firstLineChars="200"/>
      </w:pPr>
      <w:r>
        <w:rPr>
          <w:rFonts w:hint="eastAsia" w:ascii="仿宋_GB2312" w:eastAsia="仿宋_GB2312"/>
          <w:sz w:val="32"/>
          <w:szCs w:val="32"/>
        </w:rPr>
        <w:t>2018届毕业生就业满意度为98%。</w:t>
      </w:r>
    </w:p>
    <w:p>
      <w:pPr>
        <w:jc w:val="center"/>
        <w:rPr>
          <w:rFonts w:ascii="仿宋_GB2312" w:eastAsia="仿宋_GB2312"/>
          <w:sz w:val="32"/>
          <w:szCs w:val="32"/>
        </w:rPr>
      </w:pPr>
      <w:r>
        <w:drawing>
          <wp:inline distT="0" distB="0" distL="114300" distR="114300">
            <wp:extent cx="4357370" cy="2584450"/>
            <wp:effectExtent l="4445" t="5080" r="19685" b="20320"/>
            <wp:docPr id="1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jc w:val="center"/>
        <w:rPr>
          <w:rFonts w:ascii="仿宋_GB2312" w:eastAsia="仿宋_GB2312"/>
          <w:color w:val="FF0000"/>
          <w:szCs w:val="21"/>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四、求职分析</w:t>
      </w:r>
    </w:p>
    <w:p>
      <w:pPr>
        <w:ind w:firstLine="640" w:firstLineChars="200"/>
        <w:rPr>
          <w:rFonts w:ascii="仿宋_GB2312" w:eastAsia="仿宋_GB2312"/>
          <w:sz w:val="32"/>
          <w:szCs w:val="32"/>
        </w:rPr>
      </w:pPr>
      <w:r>
        <w:rPr>
          <w:rFonts w:hint="eastAsia" w:ascii="仿宋_GB2312" w:eastAsia="仿宋_GB2312"/>
          <w:sz w:val="32"/>
          <w:szCs w:val="32"/>
        </w:rPr>
        <w:t>求职途径</w:t>
      </w:r>
    </w:p>
    <w:p>
      <w:pPr>
        <w:ind w:firstLine="640" w:firstLineChars="200"/>
      </w:pPr>
      <w:r>
        <w:rPr>
          <w:rFonts w:hint="eastAsia" w:ascii="仿宋_GB2312" w:eastAsia="仿宋_GB2312"/>
          <w:sz w:val="32"/>
          <w:szCs w:val="32"/>
        </w:rPr>
        <w:t>2018届毕业生主要通过学校途径落实工作。（53.08%）</w:t>
      </w:r>
    </w:p>
    <w:p>
      <w:pPr>
        <w:jc w:val="center"/>
        <w:rPr>
          <w:rFonts w:ascii="仿宋_GB2312" w:eastAsia="仿宋_GB2312"/>
          <w:color w:val="FF0000"/>
          <w:szCs w:val="21"/>
        </w:rPr>
      </w:pPr>
      <w:r>
        <w:drawing>
          <wp:inline distT="0" distB="0" distL="114300" distR="114300">
            <wp:extent cx="4572000" cy="2743200"/>
            <wp:effectExtent l="4445" t="4445" r="14605" b="14605"/>
            <wp:docPr id="16"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jc w:val="center"/>
        <w:rPr>
          <w:rFonts w:ascii="仿宋_GB2312" w:eastAsia="仿宋_GB2312"/>
          <w:color w:val="FF0000"/>
          <w:szCs w:val="21"/>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求职困难</w:t>
      </w:r>
    </w:p>
    <w:p>
      <w:pPr>
        <w:ind w:firstLine="640" w:firstLineChars="200"/>
        <w:rPr>
          <w:rFonts w:hint="eastAsia" w:eastAsia="仿宋_GB2312"/>
          <w:lang w:eastAsia="zh-CN"/>
        </w:rPr>
      </w:pPr>
      <w:r>
        <w:rPr>
          <w:rFonts w:hint="eastAsia" w:ascii="仿宋_GB2312" w:eastAsia="仿宋_GB2312"/>
          <w:sz w:val="32"/>
          <w:szCs w:val="32"/>
        </w:rPr>
        <w:t>毕业生在求职过程中遇到的主要困难时缺乏实战经验</w:t>
      </w:r>
      <w:r>
        <w:rPr>
          <w:rFonts w:hint="eastAsia" w:ascii="仿宋_GB2312" w:eastAsia="仿宋_GB2312"/>
          <w:sz w:val="32"/>
          <w:szCs w:val="32"/>
          <w:lang w:eastAsia="zh-CN"/>
        </w:rPr>
        <w:t>。</w:t>
      </w:r>
    </w:p>
    <w:p>
      <w:pPr>
        <w:jc w:val="center"/>
        <w:rPr>
          <w:rFonts w:ascii="仿宋_GB2312" w:eastAsia="仿宋_GB2312"/>
          <w:sz w:val="32"/>
          <w:szCs w:val="32"/>
        </w:rPr>
      </w:pPr>
      <w:r>
        <w:drawing>
          <wp:inline distT="0" distB="0" distL="114300" distR="114300">
            <wp:extent cx="4572000" cy="2743200"/>
            <wp:effectExtent l="4445" t="4445" r="14605" b="14605"/>
            <wp:docPr id="21"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jc w:val="center"/>
        <w:rPr>
          <w:rFonts w:ascii="仿宋_GB2312" w:eastAsia="仿宋_GB2312"/>
          <w:color w:val="FF0000"/>
          <w:szCs w:val="21"/>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五、毕业生对就业指导服务的评价</w:t>
      </w:r>
    </w:p>
    <w:p>
      <w:pPr>
        <w:ind w:firstLine="640" w:firstLineChars="200"/>
        <w:rPr>
          <w:rFonts w:ascii="仿宋_GB2312" w:eastAsia="仿宋_GB2312"/>
          <w:sz w:val="32"/>
          <w:szCs w:val="32"/>
        </w:rPr>
      </w:pPr>
      <w:r>
        <w:rPr>
          <w:rFonts w:hint="eastAsia" w:ascii="仿宋_GB2312" w:eastAsia="仿宋_GB2312"/>
          <w:sz w:val="32"/>
          <w:szCs w:val="32"/>
        </w:rPr>
        <w:t>毕业生对我院各项就业指导服务的参与度均在96.5%以上，其中参与度最高的三方面是校园招聘会、就业实习践和就业指导课。</w:t>
      </w:r>
    </w:p>
    <w:p>
      <w:pPr>
        <w:jc w:val="center"/>
      </w:pPr>
      <w:r>
        <w:drawing>
          <wp:inline distT="0" distB="0" distL="114300" distR="114300">
            <wp:extent cx="4572000" cy="2743200"/>
            <wp:effectExtent l="4445" t="4445" r="14605" b="14605"/>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ind w:firstLine="420" w:firstLineChars="200"/>
        <w:jc w:val="center"/>
        <w:rPr>
          <w:rFonts w:ascii="仿宋_GB2312" w:eastAsia="仿宋_GB2312"/>
          <w:color w:val="FF0000"/>
          <w:sz w:val="32"/>
          <w:szCs w:val="32"/>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毕业生对母校就业指导服务满意度均在97%以上，职业咨询与辅导、就业指导课、就业实习、实践排前三名。</w:t>
      </w:r>
    </w:p>
    <w:p>
      <w:pPr>
        <w:jc w:val="center"/>
        <w:rPr>
          <w:rFonts w:ascii="仿宋_GB2312" w:eastAsia="仿宋_GB2312"/>
          <w:sz w:val="32"/>
          <w:szCs w:val="32"/>
        </w:rPr>
      </w:pPr>
      <w:r>
        <w:drawing>
          <wp:inline distT="0" distB="0" distL="114300" distR="114300">
            <wp:extent cx="4453255" cy="2743200"/>
            <wp:effectExtent l="4445" t="4445" r="19050" b="1460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ind w:firstLine="420" w:firstLineChars="200"/>
        <w:jc w:val="center"/>
        <w:rPr>
          <w:rFonts w:ascii="仿宋_GB2312" w:eastAsia="仿宋_GB2312"/>
          <w:color w:val="FF0000"/>
          <w:sz w:val="32"/>
          <w:szCs w:val="32"/>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毕业生对创业教育/指导服务的评价</w:t>
      </w:r>
    </w:p>
    <w:p>
      <w:pPr>
        <w:ind w:firstLine="640" w:firstLineChars="200"/>
        <w:rPr>
          <w:rFonts w:ascii="仿宋_GB2312" w:eastAsia="仿宋_GB2312"/>
          <w:sz w:val="32"/>
          <w:szCs w:val="32"/>
        </w:rPr>
      </w:pPr>
      <w:r>
        <w:rPr>
          <w:rFonts w:hint="eastAsia" w:ascii="仿宋_GB2312" w:eastAsia="仿宋_GB2312"/>
          <w:sz w:val="32"/>
          <w:szCs w:val="32"/>
        </w:rPr>
        <w:t>毕业生对创业教育/指导服务的参与度均在97%以上，其中创新创业大赛参与度最高。</w:t>
      </w:r>
    </w:p>
    <w:p>
      <w:pPr>
        <w:jc w:val="center"/>
        <w:rPr>
          <w:rFonts w:ascii="仿宋_GB2312" w:eastAsia="仿宋_GB2312"/>
          <w:color w:val="FF0000"/>
          <w:sz w:val="32"/>
          <w:szCs w:val="32"/>
        </w:rPr>
      </w:pPr>
      <w:r>
        <w:drawing>
          <wp:inline distT="0" distB="0" distL="114300" distR="114300">
            <wp:extent cx="4382135" cy="2299335"/>
            <wp:effectExtent l="4445" t="4445" r="13970" b="20320"/>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rFonts w:hint="eastAsia" w:ascii="仿宋_GB2312" w:eastAsia="仿宋_GB2312"/>
          <w:color w:val="FF0000"/>
          <w:szCs w:val="21"/>
        </w:rPr>
        <w:t xml:space="preserve">                  数据来源：吉林省经济管理干部学院就业办公系统</w:t>
      </w:r>
    </w:p>
    <w:p>
      <w:pPr>
        <w:jc w:val="center"/>
        <w:rPr>
          <w:rFonts w:ascii="黑体" w:eastAsia="黑体"/>
          <w:sz w:val="32"/>
          <w:szCs w:val="32"/>
        </w:rPr>
      </w:pPr>
      <w:r>
        <w:rPr>
          <w:rFonts w:hint="eastAsia" w:ascii="黑体" w:eastAsia="黑体"/>
          <w:sz w:val="32"/>
          <w:szCs w:val="32"/>
        </w:rPr>
        <w:t>第六章 就业发展趋势分析</w:t>
      </w:r>
    </w:p>
    <w:p>
      <w:pPr>
        <w:ind w:firstLine="640" w:firstLineChars="200"/>
        <w:rPr>
          <w:rFonts w:ascii="仿宋_GB2312" w:eastAsia="仿宋_GB2312"/>
          <w:sz w:val="32"/>
          <w:szCs w:val="32"/>
        </w:rPr>
      </w:pPr>
      <w:r>
        <w:rPr>
          <w:rFonts w:hint="eastAsia" w:ascii="仿宋_GB2312" w:eastAsia="仿宋_GB2312"/>
          <w:sz w:val="32"/>
          <w:szCs w:val="32"/>
        </w:rPr>
        <w:t>一、就业率变化趋势</w:t>
      </w:r>
    </w:p>
    <w:p>
      <w:pPr>
        <w:ind w:firstLine="640" w:firstLineChars="200"/>
      </w:pPr>
      <w:r>
        <w:rPr>
          <w:rFonts w:hint="eastAsia" w:ascii="仿宋_GB2312" w:eastAsia="仿宋_GB2312"/>
          <w:sz w:val="32"/>
          <w:szCs w:val="32"/>
        </w:rPr>
        <w:t>根据近几年毕业生就业状况，我院毕业生就业工作发展态势良好虽然在个别专业上出现细微变化，但总体形势基本保持稳定，就业率呈稳中向好的趋势。</w:t>
      </w:r>
    </w:p>
    <w:p>
      <w:pPr>
        <w:jc w:val="center"/>
        <w:rPr>
          <w:rFonts w:ascii="仿宋_GB2312" w:eastAsia="仿宋_GB2312"/>
          <w:color w:val="FF0000"/>
          <w:sz w:val="32"/>
          <w:szCs w:val="32"/>
        </w:rPr>
      </w:pPr>
      <w:r>
        <w:drawing>
          <wp:inline distT="0" distB="0" distL="114300" distR="114300">
            <wp:extent cx="4405630" cy="2275840"/>
            <wp:effectExtent l="4445" t="4445" r="9525" b="5715"/>
            <wp:docPr id="19"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jc w:val="center"/>
        <w:rPr>
          <w:rFonts w:ascii="仿宋_GB2312" w:eastAsia="仿宋_GB2312"/>
          <w:color w:val="FF0000"/>
          <w:szCs w:val="21"/>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二、就业形势变化趋势</w:t>
      </w:r>
    </w:p>
    <w:p>
      <w:pPr>
        <w:ind w:firstLine="640" w:firstLineChars="200"/>
        <w:rPr>
          <w:rFonts w:ascii="仿宋_GB2312" w:eastAsia="仿宋_GB2312"/>
          <w:sz w:val="32"/>
          <w:szCs w:val="32"/>
        </w:rPr>
      </w:pPr>
      <w:r>
        <w:rPr>
          <w:rFonts w:hint="eastAsia" w:ascii="仿宋_GB2312" w:eastAsia="仿宋_GB2312"/>
          <w:sz w:val="32"/>
          <w:szCs w:val="32"/>
        </w:rPr>
        <w:t>随着我国经济形势的转型发展，学院重视与市场对接，不断调整人才培养方案，毕业生就业形式更加多样化、灵活化。</w:t>
      </w:r>
    </w:p>
    <w:p>
      <w:pPr>
        <w:ind w:firstLine="640" w:firstLineChars="200"/>
      </w:pPr>
      <w:r>
        <w:rPr>
          <w:rFonts w:hint="eastAsia" w:ascii="仿宋_GB2312" w:eastAsia="仿宋_GB2312"/>
          <w:sz w:val="32"/>
          <w:szCs w:val="32"/>
          <w:lang w:val="en-US" w:eastAsia="zh-CN"/>
        </w:rPr>
        <w:t>2016-2018年</w:t>
      </w:r>
      <w:r>
        <w:rPr>
          <w:rFonts w:hint="eastAsia" w:ascii="仿宋_GB2312" w:eastAsia="仿宋_GB2312"/>
          <w:sz w:val="32"/>
          <w:szCs w:val="32"/>
        </w:rPr>
        <w:t>签协议就业率</w:t>
      </w:r>
      <w:r>
        <w:rPr>
          <w:rFonts w:hint="eastAsia" w:ascii="仿宋_GB2312" w:eastAsia="仿宋_GB2312"/>
          <w:sz w:val="32"/>
          <w:szCs w:val="32"/>
          <w:lang w:val="en-US" w:eastAsia="zh-CN"/>
        </w:rPr>
        <w:t>均</w:t>
      </w:r>
      <w:r>
        <w:rPr>
          <w:rFonts w:hint="eastAsia" w:ascii="仿宋_GB2312" w:eastAsia="仿宋_GB2312"/>
          <w:sz w:val="32"/>
          <w:szCs w:val="32"/>
        </w:rPr>
        <w:t>在64%以上。</w:t>
      </w:r>
    </w:p>
    <w:p>
      <w:pPr>
        <w:jc w:val="center"/>
        <w:rPr>
          <w:rFonts w:ascii="仿宋_GB2312" w:eastAsia="仿宋_GB2312"/>
          <w:color w:val="FF0000"/>
          <w:sz w:val="32"/>
          <w:szCs w:val="32"/>
        </w:rPr>
      </w:pPr>
      <w:r>
        <w:drawing>
          <wp:inline distT="0" distB="0" distL="114300" distR="114300">
            <wp:extent cx="4888865" cy="2757805"/>
            <wp:effectExtent l="4445" t="4445" r="21590" b="19050"/>
            <wp:docPr id="20"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jc w:val="center"/>
        <w:rPr>
          <w:rFonts w:ascii="仿宋_GB2312" w:eastAsia="仿宋_GB2312"/>
          <w:color w:val="FF0000"/>
          <w:szCs w:val="21"/>
        </w:rPr>
      </w:pPr>
      <w:r>
        <w:rPr>
          <w:rFonts w:hint="eastAsia" w:ascii="仿宋_GB2312" w:eastAsia="仿宋_GB2312"/>
          <w:color w:val="FF0000"/>
          <w:szCs w:val="21"/>
        </w:rPr>
        <w:t>数据来源：吉林省经济管理干部学院就业办公系统</w:t>
      </w:r>
    </w:p>
    <w:p>
      <w:pPr>
        <w:ind w:firstLine="640" w:firstLineChars="200"/>
        <w:rPr>
          <w:rFonts w:ascii="仿宋_GB2312" w:eastAsia="仿宋_GB2312"/>
          <w:sz w:val="32"/>
          <w:szCs w:val="32"/>
        </w:rPr>
      </w:pPr>
      <w:r>
        <w:rPr>
          <w:rFonts w:hint="eastAsia" w:ascii="仿宋_GB2312" w:eastAsia="仿宋_GB2312"/>
          <w:sz w:val="32"/>
          <w:szCs w:val="32"/>
        </w:rPr>
        <w:t>三、就业流向变化趋势</w:t>
      </w:r>
    </w:p>
    <w:p>
      <w:pPr>
        <w:ind w:firstLine="640" w:firstLineChars="200"/>
        <w:rPr>
          <w:rFonts w:ascii="仿宋_GB2312" w:eastAsia="仿宋_GB2312"/>
          <w:sz w:val="32"/>
          <w:szCs w:val="32"/>
        </w:rPr>
      </w:pPr>
      <w:r>
        <w:rPr>
          <w:rFonts w:hint="eastAsia" w:ascii="仿宋_GB2312" w:eastAsia="仿宋_GB2312"/>
          <w:sz w:val="32"/>
          <w:szCs w:val="32"/>
        </w:rPr>
        <w:t>（一）服务地方经济仍然是主旋律</w:t>
      </w:r>
    </w:p>
    <w:p>
      <w:pPr>
        <w:ind w:firstLine="640" w:firstLineChars="200"/>
        <w:rPr>
          <w:rFonts w:ascii="仿宋_GB2312" w:eastAsia="仿宋_GB2312"/>
          <w:sz w:val="32"/>
          <w:szCs w:val="32"/>
        </w:rPr>
      </w:pPr>
      <w:r>
        <w:rPr>
          <w:rFonts w:hint="eastAsia" w:ascii="仿宋_GB2312" w:eastAsia="仿宋_GB2312"/>
          <w:sz w:val="32"/>
          <w:szCs w:val="32"/>
        </w:rPr>
        <w:t>虽然我院多年来积极与省外企业合作，但由于生源100%来自于省内，我们响应省委省政府 “吉人生根工程”号召，鼓励毕业生回馈家乡，属地就业，积极投身我省经济建设与社会发展。截止2018年8月31日，省内毕业生初次就业率达82.45%。</w:t>
      </w:r>
    </w:p>
    <w:p>
      <w:pPr>
        <w:ind w:firstLine="640" w:firstLineChars="200"/>
        <w:rPr>
          <w:rFonts w:ascii="仿宋_GB2312" w:eastAsia="仿宋_GB2312"/>
          <w:sz w:val="32"/>
          <w:szCs w:val="32"/>
        </w:rPr>
      </w:pPr>
      <w:r>
        <w:rPr>
          <w:rFonts w:hint="eastAsia" w:ascii="仿宋_GB2312" w:eastAsia="仿宋_GB2312"/>
          <w:sz w:val="32"/>
          <w:szCs w:val="32"/>
        </w:rPr>
        <w:t>（二）国有企业就业率上升</w:t>
      </w:r>
    </w:p>
    <w:p>
      <w:pPr>
        <w:ind w:firstLine="640" w:firstLineChars="200"/>
        <w:rPr>
          <w:rFonts w:ascii="仿宋_GB2312" w:eastAsia="仿宋_GB2312"/>
          <w:sz w:val="32"/>
          <w:szCs w:val="32"/>
        </w:rPr>
      </w:pPr>
      <w:r>
        <w:rPr>
          <w:rFonts w:hint="eastAsia" w:ascii="仿宋_GB2312" w:eastAsia="仿宋_GB2312"/>
          <w:sz w:val="32"/>
          <w:szCs w:val="32"/>
        </w:rPr>
        <w:t>近年来，毕业生到国有企业、事业单位就业率成上升趋势，今年我院毕业生到国有企业就业率同比增长1.25%，受“收入稳定、安于现状”等因素的影响较大。</w:t>
      </w:r>
    </w:p>
    <w:p>
      <w:pPr>
        <w:ind w:firstLine="640" w:firstLineChars="200"/>
        <w:rPr>
          <w:rFonts w:ascii="仿宋_GB2312" w:eastAsia="仿宋_GB2312"/>
          <w:sz w:val="32"/>
          <w:szCs w:val="32"/>
        </w:rPr>
      </w:pPr>
      <w:r>
        <w:rPr>
          <w:rFonts w:hint="eastAsia" w:ascii="仿宋_GB2312" w:eastAsia="仿宋_GB2312"/>
          <w:sz w:val="32"/>
          <w:szCs w:val="32"/>
        </w:rPr>
        <w:t>（三）行业流向更加多元化</w:t>
      </w:r>
    </w:p>
    <w:p>
      <w:pPr>
        <w:ind w:firstLine="640" w:firstLineChars="200"/>
        <w:rPr>
          <w:rFonts w:ascii="仿宋_GB2312" w:eastAsia="仿宋_GB2312"/>
          <w:sz w:val="32"/>
          <w:szCs w:val="32"/>
        </w:rPr>
      </w:pPr>
      <w:r>
        <w:rPr>
          <w:rFonts w:hint="eastAsia" w:ascii="仿宋_GB2312" w:eastAsia="仿宋_GB2312"/>
          <w:sz w:val="32"/>
          <w:szCs w:val="32"/>
        </w:rPr>
        <w:t>近年来我院毕业生，就业行业范围不断扩大，除建筑业、旅游业、汽车制造业、现代农业等就业比例保持不变，批发零售业增长明显，出现向现代服务业、文化产业、制药业、教育业等行业流动的趋势，逐步形成了多元化的格局。</w:t>
      </w:r>
    </w:p>
    <w:p>
      <w:pPr>
        <w:jc w:val="center"/>
        <w:rPr>
          <w:rFonts w:ascii="黑体" w:eastAsia="黑体"/>
          <w:sz w:val="32"/>
          <w:szCs w:val="32"/>
        </w:rPr>
      </w:pPr>
      <w:r>
        <w:rPr>
          <w:rFonts w:hint="eastAsia" w:ascii="黑体" w:eastAsia="黑体"/>
          <w:sz w:val="32"/>
          <w:szCs w:val="32"/>
        </w:rPr>
        <w:t>第七章 对教育教学的反馈</w:t>
      </w:r>
    </w:p>
    <w:p>
      <w:pPr>
        <w:ind w:firstLine="640" w:firstLineChars="200"/>
        <w:rPr>
          <w:rFonts w:ascii="仿宋_GB2312" w:eastAsia="仿宋_GB2312"/>
          <w:sz w:val="32"/>
          <w:szCs w:val="32"/>
        </w:rPr>
      </w:pPr>
      <w:r>
        <w:rPr>
          <w:rFonts w:hint="eastAsia" w:ascii="仿宋_GB2312" w:eastAsia="仿宋_GB2312"/>
          <w:sz w:val="32"/>
          <w:szCs w:val="32"/>
        </w:rPr>
        <w:t>毕业生就业是高校人才培养的一面“镜子”，是检验高校教育教学质量的“试剂”，只有对毕业生就业质量做到全方位的检测，科学的分析，客观的判断，并对就业市场及时的反馈，可对学院对专业的调整设置、深化教育教学改革创新人才培养模式提供客观、真实、有效的依据。根据对2018届毕业生就业状况进行科学综合分析，对专业设置，教育教学反馈包括以下几个方面：</w:t>
      </w:r>
    </w:p>
    <w:p>
      <w:pPr>
        <w:ind w:firstLine="640" w:firstLineChars="200"/>
        <w:rPr>
          <w:rFonts w:ascii="仿宋_GB2312" w:eastAsia="仿宋_GB2312"/>
          <w:sz w:val="32"/>
          <w:szCs w:val="32"/>
        </w:rPr>
      </w:pPr>
      <w:r>
        <w:rPr>
          <w:rFonts w:hint="eastAsia" w:ascii="仿宋_GB2312" w:eastAsia="仿宋_GB2312"/>
          <w:sz w:val="32"/>
          <w:szCs w:val="32"/>
        </w:rPr>
        <w:t>一、调整招生计划，优化专业设置</w:t>
      </w:r>
    </w:p>
    <w:p>
      <w:pPr>
        <w:adjustRightInd w:val="0"/>
        <w:snapToGrid w:val="0"/>
        <w:spacing w:line="560" w:lineRule="exact"/>
        <w:ind w:firstLine="645"/>
        <w:rPr>
          <w:rFonts w:ascii="仿宋_GB2312" w:eastAsia="仿宋_GB2312"/>
          <w:sz w:val="32"/>
          <w:szCs w:val="32"/>
        </w:rPr>
      </w:pPr>
      <w:r>
        <w:rPr>
          <w:rFonts w:hint="eastAsia" w:ascii="仿宋_GB2312" w:eastAsia="仿宋_GB2312"/>
          <w:sz w:val="32"/>
          <w:szCs w:val="32"/>
        </w:rPr>
        <w:t>学院根据社会需求和市场反馈及时调整招生政策和专业设置。每年针对各专业建设情况，使专业设置结构更加优化，学生自我发展能力增强，培养服务区域经济发展的高级应用型技能性人才。2018年，着眼人才培养需求，结合市场前景和就业需求，新增</w:t>
      </w:r>
      <w:r>
        <w:rPr>
          <w:rFonts w:hint="eastAsia" w:ascii="仿宋" w:hAnsi="仿宋" w:eastAsia="仿宋" w:cs="仿宋"/>
          <w:sz w:val="32"/>
          <w:szCs w:val="32"/>
        </w:rPr>
        <w:t>健康管理和城市轨道交通通信信号技术两个</w:t>
      </w:r>
      <w:r>
        <w:rPr>
          <w:rFonts w:hint="eastAsia" w:ascii="仿宋_GB2312" w:eastAsia="仿宋_GB2312"/>
          <w:sz w:val="32"/>
          <w:szCs w:val="32"/>
        </w:rPr>
        <w:t>专业，将就业率低于50%的商务英语专业撤销。</w:t>
      </w:r>
    </w:p>
    <w:p>
      <w:pPr>
        <w:ind w:firstLine="640" w:firstLineChars="200"/>
        <w:rPr>
          <w:rFonts w:ascii="仿宋_GB2312" w:eastAsia="仿宋_GB2312"/>
          <w:sz w:val="32"/>
          <w:szCs w:val="32"/>
        </w:rPr>
      </w:pPr>
      <w:r>
        <w:rPr>
          <w:rFonts w:hint="eastAsia" w:ascii="仿宋_GB2312" w:eastAsia="仿宋_GB2312"/>
          <w:sz w:val="32"/>
          <w:szCs w:val="32"/>
        </w:rPr>
        <w:t>二、深化教学改革，调整人才培养方案</w:t>
      </w:r>
    </w:p>
    <w:p>
      <w:pPr>
        <w:ind w:firstLine="640" w:firstLineChars="200"/>
        <w:rPr>
          <w:rFonts w:ascii="仿宋_GB2312" w:eastAsia="仿宋_GB2312"/>
          <w:sz w:val="32"/>
          <w:szCs w:val="32"/>
        </w:rPr>
      </w:pPr>
      <w:r>
        <w:rPr>
          <w:rFonts w:hint="eastAsia" w:ascii="仿宋_GB2312" w:eastAsia="仿宋_GB2312"/>
          <w:sz w:val="32"/>
          <w:szCs w:val="32"/>
        </w:rPr>
        <w:t>学院通过调查问卷的方式对毕业生就业能力和综合素质进行调查，调查问卷显示：98.45％的用人单位认为我院毕业生适应工作能力很好；96.08％的用人单位认为我院毕业生动手能力很强；95.24％用人单位认为我院毕业生心理承受能力较好；90.4％的用人单位认为我院毕业生科研创新能力一般；97.97％用人单位认为我院毕业生专业素养很好；98.11％用人单位认为我院毕业生敬业精神很好；88.62％的用人单位认为我院毕业生外语水平很好。</w:t>
      </w:r>
    </w:p>
    <w:p>
      <w:pPr>
        <w:jc w:val="center"/>
        <w:rPr>
          <w:rFonts w:ascii="仿宋" w:hAnsi="仿宋" w:eastAsia="仿宋"/>
          <w:sz w:val="32"/>
          <w:szCs w:val="32"/>
        </w:rPr>
      </w:pPr>
      <w:r>
        <w:rPr>
          <w:rFonts w:hint="eastAsia" w:ascii="仿宋" w:hAnsi="仿宋" w:eastAsia="仿宋"/>
          <w:sz w:val="32"/>
          <w:szCs w:val="32"/>
        </w:rPr>
        <w:t>毕业生综合就业能力调查问卷图表</w:t>
      </w:r>
      <w:r>
        <w:drawing>
          <wp:inline distT="0" distB="0" distL="114300" distR="114300">
            <wp:extent cx="4763135" cy="2289810"/>
            <wp:effectExtent l="4445" t="5080" r="13970" b="10160"/>
            <wp:docPr id="18"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ind w:firstLine="105" w:firstLineChars="50"/>
        <w:jc w:val="center"/>
        <w:rPr>
          <w:rFonts w:asciiTheme="majorEastAsia" w:hAnsiTheme="majorEastAsia" w:eastAsiaTheme="majorEastAsia"/>
          <w:color w:val="FF0000"/>
          <w:szCs w:val="21"/>
        </w:rPr>
      </w:pPr>
      <w:r>
        <w:rPr>
          <w:rFonts w:hint="eastAsia" w:asciiTheme="majorEastAsia" w:hAnsiTheme="majorEastAsia" w:eastAsiaTheme="majorEastAsia"/>
          <w:color w:val="FF0000"/>
          <w:szCs w:val="21"/>
        </w:rPr>
        <w:t>数据来源：企业跟踪调查问卷</w:t>
      </w:r>
    </w:p>
    <w:p>
      <w:pPr>
        <w:ind w:firstLine="640" w:firstLineChars="200"/>
        <w:rPr>
          <w:rFonts w:ascii="仿宋_GB2312" w:eastAsia="仿宋_GB2312"/>
          <w:sz w:val="32"/>
          <w:szCs w:val="32"/>
        </w:rPr>
      </w:pPr>
      <w:r>
        <w:rPr>
          <w:rFonts w:hint="eastAsia" w:ascii="仿宋_GB2312" w:eastAsia="仿宋_GB2312"/>
          <w:sz w:val="32"/>
          <w:szCs w:val="32"/>
        </w:rPr>
        <w:t>从调查问卷中可以看出，我院毕业生综合能力和素质得到了用人单位的肯定，同时用人单位给学校反馈了一些建议：</w:t>
      </w:r>
    </w:p>
    <w:p>
      <w:pPr>
        <w:ind w:firstLine="640" w:firstLineChars="200"/>
        <w:rPr>
          <w:rFonts w:ascii="仿宋_GB2312" w:eastAsia="仿宋_GB2312"/>
          <w:sz w:val="32"/>
          <w:szCs w:val="32"/>
        </w:rPr>
      </w:pPr>
      <w:r>
        <w:rPr>
          <w:rFonts w:hint="eastAsia" w:ascii="仿宋_GB2312" w:eastAsia="仿宋_GB2312"/>
          <w:sz w:val="32"/>
          <w:szCs w:val="32"/>
        </w:rPr>
        <w:t>（一）加大教学创新改革力度，适应市场需求。</w:t>
      </w:r>
    </w:p>
    <w:p>
      <w:pPr>
        <w:ind w:firstLine="640" w:firstLineChars="200"/>
        <w:rPr>
          <w:rFonts w:ascii="仿宋_GB2312" w:eastAsia="仿宋_GB2312"/>
          <w:sz w:val="32"/>
          <w:szCs w:val="32"/>
        </w:rPr>
      </w:pPr>
      <w:r>
        <w:rPr>
          <w:rFonts w:hint="eastAsia" w:ascii="仿宋_GB2312" w:eastAsia="仿宋_GB2312"/>
          <w:sz w:val="32"/>
          <w:szCs w:val="32"/>
        </w:rPr>
        <w:t>继续深入专业设置和课程设置改革，要与社会需求紧密相联，课程既要有利于培养学生的专业素养，也要注重培养学生的综合能力。根据社会需求对人才培养的整体要求，学院应适时修订人才培养方案，不断深化教育教学改革，为主动适应社会发展趋势，做好以下三方面工作；</w:t>
      </w:r>
    </w:p>
    <w:p>
      <w:pPr>
        <w:ind w:firstLine="640" w:firstLineChars="200"/>
        <w:rPr>
          <w:rFonts w:ascii="仿宋_GB2312" w:eastAsia="仿宋_GB2312"/>
          <w:sz w:val="32"/>
          <w:szCs w:val="32"/>
        </w:rPr>
      </w:pPr>
      <w:r>
        <w:rPr>
          <w:rFonts w:hint="eastAsia" w:ascii="仿宋_GB2312" w:eastAsia="仿宋_GB2312"/>
          <w:sz w:val="32"/>
          <w:szCs w:val="32"/>
        </w:rPr>
        <w:t>1、在专业建设上做好优化专业结构、加强专业内涵建设，应重点建设省级现代学徒制试点专业、省级高水平专业群建设；</w:t>
      </w:r>
    </w:p>
    <w:p>
      <w:pPr>
        <w:ind w:firstLine="640" w:firstLineChars="200"/>
        <w:rPr>
          <w:rFonts w:ascii="仿宋_GB2312" w:eastAsia="仿宋_GB2312"/>
          <w:sz w:val="32"/>
          <w:szCs w:val="32"/>
        </w:rPr>
      </w:pPr>
      <w:r>
        <w:rPr>
          <w:rFonts w:hint="eastAsia" w:ascii="仿宋_GB2312" w:eastAsia="仿宋_GB2312"/>
          <w:sz w:val="32"/>
          <w:szCs w:val="32"/>
        </w:rPr>
        <w:t>2、在师资队伍建设上抓好引进或培养专业带头人，加强教师课堂教学能力建设，增强专业教师实践经验；</w:t>
      </w:r>
    </w:p>
    <w:p>
      <w:pPr>
        <w:ind w:firstLine="640" w:firstLineChars="200"/>
        <w:rPr>
          <w:rFonts w:ascii="仿宋_GB2312" w:eastAsia="仿宋_GB2312"/>
          <w:sz w:val="32"/>
          <w:szCs w:val="32"/>
        </w:rPr>
      </w:pPr>
      <w:r>
        <w:rPr>
          <w:rFonts w:hint="eastAsia" w:ascii="仿宋_GB2312" w:eastAsia="仿宋_GB2312"/>
          <w:sz w:val="32"/>
          <w:szCs w:val="32"/>
        </w:rPr>
        <w:t>3、在人才培养质量保障体系方面做好完善教学标准体系、完善教学管理制度、完善教学考核评价体系。</w:t>
      </w:r>
    </w:p>
    <w:p>
      <w:pPr>
        <w:ind w:firstLine="640" w:firstLineChars="200"/>
        <w:rPr>
          <w:rFonts w:ascii="仿宋_GB2312" w:eastAsia="仿宋_GB2312"/>
          <w:sz w:val="32"/>
          <w:szCs w:val="32"/>
        </w:rPr>
      </w:pPr>
      <w:r>
        <w:rPr>
          <w:rFonts w:hint="eastAsia" w:ascii="仿宋_GB2312" w:eastAsia="仿宋_GB2312"/>
          <w:sz w:val="32"/>
          <w:szCs w:val="32"/>
        </w:rPr>
        <w:t>（二）加大对实践教学的投入，重视实习实训。</w:t>
      </w:r>
    </w:p>
    <w:p>
      <w:pPr>
        <w:ind w:firstLine="640" w:firstLineChars="200"/>
        <w:rPr>
          <w:rFonts w:ascii="仿宋_GB2312" w:eastAsia="仿宋_GB2312"/>
          <w:sz w:val="32"/>
          <w:szCs w:val="32"/>
        </w:rPr>
      </w:pPr>
      <w:r>
        <w:rPr>
          <w:rFonts w:hint="eastAsia" w:ascii="仿宋_GB2312" w:eastAsia="仿宋_GB2312"/>
          <w:sz w:val="32"/>
          <w:szCs w:val="32"/>
        </w:rPr>
        <w:t>很多用人单位表示，希望学院继续加强学生的实习实训，并愿意成为我院的实习实训基地，给学生提供更多的实习机会。通过顶岗实习、工学交替等深度校企合作方式缩短毕业生上岗后的适应期，增强毕业生的就业竞争力。</w:t>
      </w:r>
    </w:p>
    <w:p>
      <w:pPr>
        <w:ind w:firstLine="640" w:firstLineChars="200"/>
        <w:rPr>
          <w:rFonts w:ascii="仿宋_GB2312" w:eastAsia="仿宋_GB2312"/>
          <w:sz w:val="32"/>
          <w:szCs w:val="32"/>
        </w:rPr>
      </w:pPr>
      <w:r>
        <w:rPr>
          <w:rFonts w:hint="eastAsia" w:ascii="仿宋_GB2312" w:eastAsia="仿宋_GB2312"/>
          <w:sz w:val="32"/>
          <w:szCs w:val="32"/>
        </w:rPr>
        <w:t>学院在校企合作上应加强两个方面的创新改革；</w:t>
      </w:r>
    </w:p>
    <w:p>
      <w:pPr>
        <w:ind w:firstLine="640" w:firstLineChars="200"/>
        <w:rPr>
          <w:rFonts w:ascii="仿宋_GB2312" w:eastAsia="仿宋_GB2312"/>
          <w:sz w:val="32"/>
          <w:szCs w:val="32"/>
        </w:rPr>
      </w:pPr>
      <w:r>
        <w:rPr>
          <w:rFonts w:hint="eastAsia" w:ascii="仿宋_GB2312" w:eastAsia="仿宋_GB2312"/>
          <w:sz w:val="32"/>
          <w:szCs w:val="32"/>
        </w:rPr>
        <w:t>1、创新校企合作育人的途径与方式，充分发挥企业的重要主体作用，推动校企共建校内外生产性实训基地建设，切实增强学生职业能力和就业创业能力。</w:t>
      </w:r>
    </w:p>
    <w:p>
      <w:pPr>
        <w:ind w:firstLine="640" w:firstLineChars="200"/>
        <w:rPr>
          <w:rFonts w:ascii="仿宋_GB2312" w:eastAsia="仿宋_GB2312"/>
          <w:sz w:val="32"/>
          <w:szCs w:val="32"/>
        </w:rPr>
      </w:pPr>
      <w:r>
        <w:rPr>
          <w:rFonts w:hint="eastAsia" w:ascii="仿宋_GB2312" w:eastAsia="仿宋_GB2312"/>
          <w:sz w:val="32"/>
          <w:szCs w:val="32"/>
        </w:rPr>
        <w:t>2、校企合作深化多种模式的课程改革。加强与行业企业的合作，校企共同组建教学团队，紧贴岗位实际工作过程，调整课程结构，更新课程内容，把职业岗位所需要的知识、技能和职业素养融入相关专业教学中。</w:t>
      </w:r>
    </w:p>
    <w:p>
      <w:pPr>
        <w:ind w:firstLine="640" w:firstLineChars="200"/>
        <w:jc w:val="center"/>
        <w:rPr>
          <w:rFonts w:ascii="黑体" w:eastAsia="黑体"/>
          <w:sz w:val="32"/>
          <w:szCs w:val="32"/>
        </w:rPr>
      </w:pPr>
      <w:r>
        <w:rPr>
          <w:rFonts w:hint="eastAsia" w:ascii="黑体" w:eastAsia="黑体"/>
          <w:sz w:val="32"/>
          <w:szCs w:val="32"/>
        </w:rPr>
        <w:t>结束语</w:t>
      </w:r>
    </w:p>
    <w:p>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2018年，</w:t>
      </w:r>
      <w:r>
        <w:rPr>
          <w:rFonts w:hint="eastAsia" w:ascii="仿宋" w:hAnsi="仿宋" w:eastAsia="仿宋" w:cs="仿宋"/>
          <w:sz w:val="32"/>
          <w:szCs w:val="32"/>
          <w:lang w:val="en-US" w:eastAsia="zh-CN"/>
        </w:rPr>
        <w:t>学院就业创业工作在上级主管部门的指导和支持下，在全体师生的共同努力下，逐步完善“招生-培养-就业”三方联动机制，各项工作稳中求进，成效显著，在不断提高毕业生就业核心竞争力的同时，</w:t>
      </w:r>
      <w:r>
        <w:rPr>
          <w:rFonts w:hint="eastAsia" w:ascii="仿宋" w:hAnsi="仿宋" w:eastAsia="仿宋" w:cs="仿宋"/>
          <w:sz w:val="32"/>
          <w:szCs w:val="32"/>
        </w:rPr>
        <w:t>切实推动</w:t>
      </w:r>
      <w:r>
        <w:rPr>
          <w:rFonts w:hint="eastAsia" w:ascii="仿宋" w:hAnsi="仿宋" w:eastAsia="仿宋" w:cs="仿宋"/>
          <w:sz w:val="32"/>
          <w:szCs w:val="32"/>
          <w:lang w:val="en-US" w:eastAsia="zh-CN"/>
        </w:rPr>
        <w:t>了</w:t>
      </w:r>
      <w:r>
        <w:rPr>
          <w:rFonts w:hint="eastAsia" w:ascii="仿宋" w:hAnsi="仿宋" w:eastAsia="仿宋" w:cs="仿宋"/>
          <w:sz w:val="32"/>
          <w:szCs w:val="32"/>
        </w:rPr>
        <w:t>我院毕业生的充分、高质量就业创业。</w:t>
      </w:r>
    </w:p>
    <w:p>
      <w:pPr>
        <w:ind w:firstLine="640" w:firstLineChars="200"/>
        <w:rPr>
          <w:rFonts w:hint="eastAsia" w:ascii="仿宋" w:hAnsi="仿宋" w:eastAsia="仿宋" w:cs="仿宋"/>
          <w:sz w:val="32"/>
          <w:szCs w:val="32"/>
          <w:lang w:val="en-US"/>
        </w:rPr>
      </w:pPr>
      <w:r>
        <w:rPr>
          <w:rFonts w:hint="eastAsia" w:ascii="仿宋" w:hAnsi="仿宋" w:eastAsia="仿宋" w:cs="仿宋"/>
          <w:color w:val="333333"/>
          <w:sz w:val="32"/>
          <w:szCs w:val="32"/>
          <w:lang w:val="en-US" w:eastAsia="zh-CN"/>
        </w:rPr>
        <w:t>2019年，</w:t>
      </w:r>
      <w:r>
        <w:rPr>
          <w:rFonts w:hint="eastAsia" w:ascii="仿宋" w:hAnsi="仿宋" w:eastAsia="仿宋" w:cs="仿宋"/>
          <w:color w:val="333333"/>
          <w:sz w:val="32"/>
          <w:szCs w:val="32"/>
        </w:rPr>
        <w:t>就业创业工作</w:t>
      </w:r>
      <w:r>
        <w:rPr>
          <w:rFonts w:hint="eastAsia" w:ascii="仿宋" w:hAnsi="仿宋" w:eastAsia="仿宋" w:cs="仿宋"/>
          <w:color w:val="333333"/>
          <w:sz w:val="32"/>
          <w:szCs w:val="32"/>
          <w:lang w:val="en-US" w:eastAsia="zh-CN"/>
        </w:rPr>
        <w:t>仍然</w:t>
      </w:r>
      <w:r>
        <w:rPr>
          <w:rFonts w:hint="eastAsia" w:ascii="仿宋" w:hAnsi="仿宋" w:eastAsia="仿宋" w:cs="仿宋"/>
          <w:color w:val="333333"/>
          <w:sz w:val="32"/>
          <w:szCs w:val="32"/>
        </w:rPr>
        <w:t>面临复杂严峻的形势，不确定和不稳定因素在增加，</w:t>
      </w:r>
      <w:r>
        <w:rPr>
          <w:rFonts w:hint="eastAsia" w:ascii="仿宋" w:hAnsi="仿宋" w:eastAsia="仿宋" w:cs="仿宋"/>
          <w:sz w:val="32"/>
          <w:szCs w:val="32"/>
        </w:rPr>
        <w:t>就业形势仍将复杂严峻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学院将按照党中央、省委省政府的要求，持续强化就业与教学良性互动，逐步完善就业管理服务体系，全力做好2019届毕业生就业创业工作。</w:t>
      </w:r>
    </w:p>
    <w:p>
      <w:pPr>
        <w:ind w:firstLine="640" w:firstLineChars="200"/>
        <w:rPr>
          <w:rFonts w:ascii="仿宋_GB2312" w:hAnsi="??" w:eastAsia="仿宋_GB2312"/>
          <w:color w:val="4A4A4A"/>
          <w:sz w:val="32"/>
          <w:szCs w:val="32"/>
        </w:rPr>
      </w:pPr>
    </w:p>
    <w:p>
      <w:pPr>
        <w:ind w:firstLine="640" w:firstLineChars="200"/>
        <w:rPr>
          <w:rFonts w:ascii="仿宋_GB2312" w:hAnsi="??" w:eastAsia="仿宋_GB2312"/>
          <w:color w:val="4A4A4A"/>
          <w:sz w:val="32"/>
          <w:szCs w:val="32"/>
        </w:rPr>
      </w:pPr>
    </w:p>
    <w:p>
      <w:pPr>
        <w:ind w:firstLine="3840" w:firstLineChars="1200"/>
        <w:rPr>
          <w:rFonts w:ascii="仿宋_GB2312" w:eastAsia="仿宋_GB2312"/>
          <w:sz w:val="32"/>
          <w:szCs w:val="32"/>
        </w:rPr>
      </w:pPr>
    </w:p>
    <w:p>
      <w:pPr>
        <w:ind w:firstLine="3680" w:firstLineChars="1150"/>
        <w:rPr>
          <w:rFonts w:ascii="仿宋_GB2312" w:eastAsia="仿宋_GB2312"/>
          <w:sz w:val="32"/>
          <w:szCs w:val="32"/>
        </w:rPr>
      </w:pPr>
      <w:r>
        <w:rPr>
          <w:rFonts w:hint="eastAsia" w:ascii="仿宋_GB2312" w:eastAsia="仿宋_GB2312"/>
          <w:sz w:val="32"/>
          <w:szCs w:val="32"/>
        </w:rPr>
        <w:t>吉林省经济管理干部学院</w:t>
      </w:r>
    </w:p>
    <w:p>
      <w:pPr>
        <w:ind w:firstLine="4160" w:firstLineChars="1300"/>
        <w:rPr>
          <w:rFonts w:ascii="宋体" w:cs="宋体"/>
          <w:kern w:val="0"/>
          <w:sz w:val="24"/>
        </w:rPr>
      </w:pPr>
      <w:r>
        <w:rPr>
          <w:rFonts w:ascii="仿宋_GB2312" w:eastAsia="仿宋_GB2312"/>
          <w:sz w:val="32"/>
          <w:szCs w:val="32"/>
        </w:rPr>
        <w:t>201</w:t>
      </w:r>
      <w:r>
        <w:rPr>
          <w:rFonts w:hint="eastAsia" w:ascii="仿宋_GB2312" w:eastAsia="仿宋_GB2312"/>
          <w:sz w:val="32"/>
          <w:szCs w:val="32"/>
        </w:rPr>
        <w:t>8年</w:t>
      </w:r>
      <w:r>
        <w:rPr>
          <w:rFonts w:ascii="仿宋_GB2312" w:eastAsia="仿宋_GB2312"/>
          <w:sz w:val="32"/>
          <w:szCs w:val="32"/>
        </w:rPr>
        <w:t>1</w:t>
      </w:r>
      <w:r>
        <w:rPr>
          <w:rFonts w:hint="eastAsia" w:ascii="仿宋_GB2312" w:eastAsia="仿宋_GB2312"/>
          <w:sz w:val="32"/>
          <w:szCs w:val="32"/>
        </w:rPr>
        <w:t>2月20日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32F"/>
    <w:rsid w:val="00014660"/>
    <w:rsid w:val="00020796"/>
    <w:rsid w:val="00061638"/>
    <w:rsid w:val="000674B2"/>
    <w:rsid w:val="00077234"/>
    <w:rsid w:val="00082D22"/>
    <w:rsid w:val="00085CD9"/>
    <w:rsid w:val="00093A56"/>
    <w:rsid w:val="000A7697"/>
    <w:rsid w:val="000F0DEB"/>
    <w:rsid w:val="00100693"/>
    <w:rsid w:val="00140FC9"/>
    <w:rsid w:val="0014776B"/>
    <w:rsid w:val="00157F03"/>
    <w:rsid w:val="00164489"/>
    <w:rsid w:val="00171D7A"/>
    <w:rsid w:val="001B159B"/>
    <w:rsid w:val="001B4A61"/>
    <w:rsid w:val="001D7286"/>
    <w:rsid w:val="001F7678"/>
    <w:rsid w:val="0021045F"/>
    <w:rsid w:val="00225135"/>
    <w:rsid w:val="00243FD1"/>
    <w:rsid w:val="00247DD7"/>
    <w:rsid w:val="00254234"/>
    <w:rsid w:val="00277FED"/>
    <w:rsid w:val="00294BEB"/>
    <w:rsid w:val="00297CAA"/>
    <w:rsid w:val="00304537"/>
    <w:rsid w:val="00315C11"/>
    <w:rsid w:val="00320C4F"/>
    <w:rsid w:val="00325D65"/>
    <w:rsid w:val="00336D7D"/>
    <w:rsid w:val="0036188D"/>
    <w:rsid w:val="00363BE6"/>
    <w:rsid w:val="00364DC7"/>
    <w:rsid w:val="003A5604"/>
    <w:rsid w:val="003F29F4"/>
    <w:rsid w:val="00432BF2"/>
    <w:rsid w:val="00434066"/>
    <w:rsid w:val="00436EA2"/>
    <w:rsid w:val="00452550"/>
    <w:rsid w:val="00453C01"/>
    <w:rsid w:val="00476173"/>
    <w:rsid w:val="004765F2"/>
    <w:rsid w:val="004B2C27"/>
    <w:rsid w:val="004C7B56"/>
    <w:rsid w:val="004F130B"/>
    <w:rsid w:val="00501657"/>
    <w:rsid w:val="00506172"/>
    <w:rsid w:val="0051714B"/>
    <w:rsid w:val="005369A0"/>
    <w:rsid w:val="005471C3"/>
    <w:rsid w:val="0055496D"/>
    <w:rsid w:val="00575518"/>
    <w:rsid w:val="005A0BE5"/>
    <w:rsid w:val="005A11DD"/>
    <w:rsid w:val="005E268A"/>
    <w:rsid w:val="00600CBE"/>
    <w:rsid w:val="00604A9C"/>
    <w:rsid w:val="0063144F"/>
    <w:rsid w:val="006477F4"/>
    <w:rsid w:val="00650245"/>
    <w:rsid w:val="006908E4"/>
    <w:rsid w:val="006A752A"/>
    <w:rsid w:val="006D7604"/>
    <w:rsid w:val="006F339C"/>
    <w:rsid w:val="0070159B"/>
    <w:rsid w:val="00702477"/>
    <w:rsid w:val="00714FD1"/>
    <w:rsid w:val="007825D6"/>
    <w:rsid w:val="007945AF"/>
    <w:rsid w:val="007A4783"/>
    <w:rsid w:val="007B4724"/>
    <w:rsid w:val="007D602E"/>
    <w:rsid w:val="00825B99"/>
    <w:rsid w:val="00860933"/>
    <w:rsid w:val="00871450"/>
    <w:rsid w:val="00896139"/>
    <w:rsid w:val="008A1086"/>
    <w:rsid w:val="008C73DF"/>
    <w:rsid w:val="008F758B"/>
    <w:rsid w:val="00934DF6"/>
    <w:rsid w:val="00951D3A"/>
    <w:rsid w:val="00954C21"/>
    <w:rsid w:val="00976CA1"/>
    <w:rsid w:val="009A0368"/>
    <w:rsid w:val="009A3F85"/>
    <w:rsid w:val="009B265D"/>
    <w:rsid w:val="009F2F57"/>
    <w:rsid w:val="009F462F"/>
    <w:rsid w:val="00A00127"/>
    <w:rsid w:val="00A258B8"/>
    <w:rsid w:val="00A53315"/>
    <w:rsid w:val="00A85912"/>
    <w:rsid w:val="00A93CC9"/>
    <w:rsid w:val="00AA535F"/>
    <w:rsid w:val="00B153F2"/>
    <w:rsid w:val="00B20606"/>
    <w:rsid w:val="00B33436"/>
    <w:rsid w:val="00B950D2"/>
    <w:rsid w:val="00BA02F7"/>
    <w:rsid w:val="00BC11D5"/>
    <w:rsid w:val="00BE4084"/>
    <w:rsid w:val="00BE6460"/>
    <w:rsid w:val="00C01477"/>
    <w:rsid w:val="00C24F43"/>
    <w:rsid w:val="00C346DE"/>
    <w:rsid w:val="00C9215E"/>
    <w:rsid w:val="00CA7E9E"/>
    <w:rsid w:val="00D03FE2"/>
    <w:rsid w:val="00D1373C"/>
    <w:rsid w:val="00D20598"/>
    <w:rsid w:val="00D776AA"/>
    <w:rsid w:val="00D92FC4"/>
    <w:rsid w:val="00DB05A6"/>
    <w:rsid w:val="00DB0739"/>
    <w:rsid w:val="00DC64A7"/>
    <w:rsid w:val="00DD0CBF"/>
    <w:rsid w:val="00DE4BAC"/>
    <w:rsid w:val="00DE592C"/>
    <w:rsid w:val="00DF4E7C"/>
    <w:rsid w:val="00E002F0"/>
    <w:rsid w:val="00E11E6C"/>
    <w:rsid w:val="00E242D0"/>
    <w:rsid w:val="00E302F2"/>
    <w:rsid w:val="00E509EE"/>
    <w:rsid w:val="00E575FD"/>
    <w:rsid w:val="00E66660"/>
    <w:rsid w:val="00E71C19"/>
    <w:rsid w:val="00E8132F"/>
    <w:rsid w:val="00EA3FA4"/>
    <w:rsid w:val="00EA696D"/>
    <w:rsid w:val="00EB1852"/>
    <w:rsid w:val="00EB431B"/>
    <w:rsid w:val="00EC1903"/>
    <w:rsid w:val="00ED6252"/>
    <w:rsid w:val="00F1302D"/>
    <w:rsid w:val="00F22675"/>
    <w:rsid w:val="00F25971"/>
    <w:rsid w:val="00F417FB"/>
    <w:rsid w:val="00F552C6"/>
    <w:rsid w:val="00F617E1"/>
    <w:rsid w:val="00F84E33"/>
    <w:rsid w:val="00F87D3B"/>
    <w:rsid w:val="00FD52B0"/>
    <w:rsid w:val="03083A20"/>
    <w:rsid w:val="04214810"/>
    <w:rsid w:val="04E03166"/>
    <w:rsid w:val="069652D3"/>
    <w:rsid w:val="07D141D8"/>
    <w:rsid w:val="093715FD"/>
    <w:rsid w:val="09F24A16"/>
    <w:rsid w:val="0D4C7B28"/>
    <w:rsid w:val="0DEB50BE"/>
    <w:rsid w:val="0E1117F4"/>
    <w:rsid w:val="12A1730C"/>
    <w:rsid w:val="141D2982"/>
    <w:rsid w:val="175D2F28"/>
    <w:rsid w:val="19207B01"/>
    <w:rsid w:val="1AD808FD"/>
    <w:rsid w:val="1DD67509"/>
    <w:rsid w:val="200E10B9"/>
    <w:rsid w:val="205D171A"/>
    <w:rsid w:val="2470774D"/>
    <w:rsid w:val="27242E99"/>
    <w:rsid w:val="27337AB2"/>
    <w:rsid w:val="2A477EE0"/>
    <w:rsid w:val="2D4C20BC"/>
    <w:rsid w:val="30B21649"/>
    <w:rsid w:val="335C7E3C"/>
    <w:rsid w:val="361628CB"/>
    <w:rsid w:val="373710C4"/>
    <w:rsid w:val="37A8710C"/>
    <w:rsid w:val="3F3E27C3"/>
    <w:rsid w:val="419B0396"/>
    <w:rsid w:val="41E1073E"/>
    <w:rsid w:val="486D5673"/>
    <w:rsid w:val="4DDA36E9"/>
    <w:rsid w:val="4EC725C9"/>
    <w:rsid w:val="4FE74F70"/>
    <w:rsid w:val="522439DC"/>
    <w:rsid w:val="54D003A3"/>
    <w:rsid w:val="54D52257"/>
    <w:rsid w:val="58121493"/>
    <w:rsid w:val="58BD674F"/>
    <w:rsid w:val="5CCB24B8"/>
    <w:rsid w:val="5D4944DA"/>
    <w:rsid w:val="649F7A78"/>
    <w:rsid w:val="64B6031D"/>
    <w:rsid w:val="67866BE0"/>
    <w:rsid w:val="6A976292"/>
    <w:rsid w:val="6CBB4D56"/>
    <w:rsid w:val="6FEF2EB2"/>
    <w:rsid w:val="700B435A"/>
    <w:rsid w:val="7055224C"/>
    <w:rsid w:val="77396F41"/>
    <w:rsid w:val="793014E0"/>
    <w:rsid w:val="79492523"/>
    <w:rsid w:val="7C746297"/>
    <w:rsid w:val="7CCE794F"/>
    <w:rsid w:val="7DE3442C"/>
    <w:rsid w:val="7F377C8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12"/>
    <w:semiHidden/>
    <w:unhideWhenUsed/>
    <w:qFormat/>
    <w:locked/>
    <w:uiPriority w:val="0"/>
    <w:pPr>
      <w:keepNext/>
      <w:keepLines/>
      <w:spacing w:line="372" w:lineRule="auto"/>
      <w:outlineLvl w:val="3"/>
    </w:pPr>
    <w:rPr>
      <w:rFonts w:ascii="Arial" w:hAnsi="Arial" w:eastAsia="黑体"/>
      <w:b/>
      <w:sz w:val="28"/>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批注框文本 字符"/>
    <w:basedOn w:val="7"/>
    <w:link w:val="3"/>
    <w:semiHidden/>
    <w:qFormat/>
    <w:uiPriority w:val="99"/>
    <w:rPr>
      <w:sz w:val="18"/>
      <w:szCs w:val="18"/>
    </w:rPr>
  </w:style>
  <w:style w:type="character" w:customStyle="1" w:styleId="10">
    <w:name w:val="页眉 字符"/>
    <w:basedOn w:val="7"/>
    <w:link w:val="5"/>
    <w:qFormat/>
    <w:uiPriority w:val="99"/>
    <w:rPr>
      <w:kern w:val="2"/>
      <w:sz w:val="18"/>
      <w:szCs w:val="18"/>
    </w:rPr>
  </w:style>
  <w:style w:type="character" w:customStyle="1" w:styleId="11">
    <w:name w:val="页脚 字符"/>
    <w:basedOn w:val="7"/>
    <w:link w:val="4"/>
    <w:qFormat/>
    <w:uiPriority w:val="99"/>
    <w:rPr>
      <w:kern w:val="2"/>
      <w:sz w:val="18"/>
      <w:szCs w:val="18"/>
    </w:rPr>
  </w:style>
  <w:style w:type="character" w:customStyle="1" w:styleId="12">
    <w:name w:val="标题 4 字符"/>
    <w:link w:val="2"/>
    <w:qFormat/>
    <w:uiPriority w:val="0"/>
    <w:rPr>
      <w:rFonts w:ascii="Arial" w:hAnsi="Arial" w:eastAsia="黑体"/>
      <w:b/>
      <w:sz w:val="2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chart" Target="charts/chart20.xml"/><Relationship Id="rId28" Type="http://schemas.openxmlformats.org/officeDocument/2006/relationships/chart" Target="charts/chart19.xml"/><Relationship Id="rId27" Type="http://schemas.openxmlformats.org/officeDocument/2006/relationships/chart" Target="charts/chart18.xml"/><Relationship Id="rId26" Type="http://schemas.openxmlformats.org/officeDocument/2006/relationships/chart" Target="charts/chart17.xml"/><Relationship Id="rId25" Type="http://schemas.openxmlformats.org/officeDocument/2006/relationships/chart" Target="charts/chart16.xml"/><Relationship Id="rId24" Type="http://schemas.openxmlformats.org/officeDocument/2006/relationships/chart" Target="charts/chart15.xml"/><Relationship Id="rId23" Type="http://schemas.openxmlformats.org/officeDocument/2006/relationships/chart" Target="charts/chart14.xml"/><Relationship Id="rId22" Type="http://schemas.openxmlformats.org/officeDocument/2006/relationships/chart" Target="charts/chart13.xml"/><Relationship Id="rId21" Type="http://schemas.openxmlformats.org/officeDocument/2006/relationships/chart" Target="charts/chart12.xml"/><Relationship Id="rId20" Type="http://schemas.openxmlformats.org/officeDocument/2006/relationships/chart" Target="charts/chart11.xml"/><Relationship Id="rId2" Type="http://schemas.openxmlformats.org/officeDocument/2006/relationships/settings" Target="settings.xml"/><Relationship Id="rId19" Type="http://schemas.openxmlformats.org/officeDocument/2006/relationships/chart" Target="charts/chart10.xml"/><Relationship Id="rId18" Type="http://schemas.openxmlformats.org/officeDocument/2006/relationships/chart" Target="charts/chart9.xml"/><Relationship Id="rId17" Type="http://schemas.openxmlformats.org/officeDocument/2006/relationships/chart" Target="charts/chart8.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DELL\Desktop\2018.xls"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6.xml"/><Relationship Id="rId2" Type="http://schemas.microsoft.com/office/2011/relationships/chartStyle" Target="style16.xml"/><Relationship Id="rId1" Type="http://schemas.openxmlformats.org/officeDocument/2006/relationships/oleObject" Target="file:///C:\Users\DELL\Desktop\2018&#25968;&#25454;.xls"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DELL\Desktop\2018&#25968;&#25454;.xls" TargetMode="External"/></Relationships>
</file>

<file path=word/charts/_rels/chart12.xml.rels><?xml version="1.0" encoding="UTF-8" standalone="yes"?>
<Relationships xmlns="http://schemas.openxmlformats.org/package/2006/relationships"><Relationship Id="rId3" Type="http://schemas.microsoft.com/office/2011/relationships/chartColorStyle" Target="colors18.xml"/><Relationship Id="rId2" Type="http://schemas.microsoft.com/office/2011/relationships/chartStyle" Target="style18.xml"/><Relationship Id="rId1" Type="http://schemas.openxmlformats.org/officeDocument/2006/relationships/oleObject" Target="file:///C:\Users\DELL\Desktop\2018&#25968;&#25454;.xls"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DELL\Desktop\2018&#25968;&#25454;.xls" TargetMode="External"/></Relationships>
</file>

<file path=word/charts/_rels/chart14.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DELL\Desktop\2018&#25968;&#25454;.xls" TargetMode="External"/></Relationships>
</file>

<file path=word/charts/_rels/chart15.xml.rels><?xml version="1.0" encoding="UTF-8" standalone="yes"?>
<Relationships xmlns="http://schemas.openxmlformats.org/package/2006/relationships"><Relationship Id="rId3" Type="http://schemas.microsoft.com/office/2011/relationships/chartColorStyle" Target="colors13.xml"/><Relationship Id="rId2" Type="http://schemas.microsoft.com/office/2011/relationships/chartStyle" Target="style13.xml"/><Relationship Id="rId1" Type="http://schemas.openxmlformats.org/officeDocument/2006/relationships/oleObject" Target="file:///C:\Users\DELL\Desktop\2018&#25968;&#25454;.xls" TargetMode="External"/></Relationships>
</file>

<file path=word/charts/_rels/chart1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DELL\Desktop\2018&#25968;&#25454;.xls" TargetMode="External"/></Relationships>
</file>

<file path=word/charts/_rels/chart17.xml.rels><?xml version="1.0" encoding="UTF-8" standalone="yes"?>
<Relationships xmlns="http://schemas.openxmlformats.org/package/2006/relationships"><Relationship Id="rId3" Type="http://schemas.microsoft.com/office/2011/relationships/chartColorStyle" Target="colors15.xml"/><Relationship Id="rId2" Type="http://schemas.microsoft.com/office/2011/relationships/chartStyle" Target="style15.xml"/><Relationship Id="rId1" Type="http://schemas.openxmlformats.org/officeDocument/2006/relationships/oleObject" Target="file:///C:\Users\DELL\Desktop\2018&#25968;&#25454;.xls" TargetMode="External"/></Relationships>
</file>

<file path=word/charts/_rels/chart18.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DELL\Desktop\2018&#25968;&#25454;.xls" TargetMode="External"/></Relationships>
</file>

<file path=word/charts/_rels/chart19.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DELL\Desktop\2018&#25968;&#25454;.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DELL\Desktop\2018.xls" TargetMode="External"/></Relationships>
</file>

<file path=word/charts/_rels/chart20.xml.rels><?xml version="1.0" encoding="UTF-8" standalone="yes"?>
<Relationships xmlns="http://schemas.openxmlformats.org/package/2006/relationships"><Relationship Id="rId3" Type="http://schemas.microsoft.com/office/2011/relationships/chartColorStyle" Target="colors20.xml"/><Relationship Id="rId2" Type="http://schemas.microsoft.com/office/2011/relationships/chartStyle" Target="style20.xml"/><Relationship Id="rId1" Type="http://schemas.openxmlformats.org/officeDocument/2006/relationships/oleObject" Target="file:///C:\Users\DELL\Desktop\2018&#25968;&#25454;.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DELL\Desktop\2018.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DELL\Desktop\2018&#25968;&#25454;.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4.xml"/><Relationship Id="rId2" Type="http://schemas.microsoft.com/office/2011/relationships/chartStyle" Target="style14.xml"/><Relationship Id="rId1" Type="http://schemas.openxmlformats.org/officeDocument/2006/relationships/oleObject" Target="file:///C:\Users\DELL\Desktop\2018&#25968;&#25454;.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oleObject" Target="file:///C:\Users\DELL\Desktop\12.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9.xml"/><Relationship Id="rId2" Type="http://schemas.microsoft.com/office/2011/relationships/chartStyle" Target="style19.xml"/><Relationship Id="rId1" Type="http://schemas.openxmlformats.org/officeDocument/2006/relationships/oleObject" Target="file:///C:\Users\DELL\Desktop\2018&#25968;&#25454;.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DELL\Desktop\2018&#25968;&#25454;.xls"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17.xml"/><Relationship Id="rId2" Type="http://schemas.microsoft.com/office/2011/relationships/chartStyle" Target="style17.xml"/><Relationship Id="rId1" Type="http://schemas.openxmlformats.org/officeDocument/2006/relationships/oleObject" Target="file:///C:\Users\DELL\Desktop\2018&#25968;&#2545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t>男女生比例</a:t>
            </a:r>
            <a:endParaRPr lang="zh-CN" altLang="en-US"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solidFill>
                <a:schemeClr val="bg1"/>
              </a:solid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[2018.xls]Sheet2!$A$1:$A$2</c:f>
              <c:strCache>
                <c:ptCount val="2"/>
                <c:pt idx="0">
                  <c:v>男</c:v>
                </c:pt>
                <c:pt idx="1">
                  <c:v>女</c:v>
                </c:pt>
              </c:strCache>
            </c:strRef>
          </c:cat>
          <c:val>
            <c:numRef>
              <c:f>[2018.xls]Sheet2!$B$1:$B$2</c:f>
              <c:numCache>
                <c:formatCode>General</c:formatCode>
                <c:ptCount val="2"/>
                <c:pt idx="0">
                  <c:v>709</c:v>
                </c:pt>
                <c:pt idx="1">
                  <c:v>1354</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b"/>
      <c:layout/>
      <c:overlay val="0"/>
      <c:spPr>
        <a:noFill/>
        <a:ln>
          <a:noFill/>
        </a:ln>
        <a:effectLst>
          <a:glow rad="228600">
            <a:schemeClr val="accent4">
              <a:satMod val="175000"/>
              <a:alpha val="40000"/>
            </a:schemeClr>
          </a:glow>
          <a:innerShdw blurRad="63500" dist="50800" dir="13500000">
            <a:prstClr val="black">
              <a:alpha val="50000"/>
            </a:prstClr>
          </a:innerShdw>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[2018数据.xls]Sheet2!$A$39:$A$44</c:f>
              <c:strCache>
                <c:ptCount val="6"/>
                <c:pt idx="0">
                  <c:v>2500-3500元</c:v>
                </c:pt>
                <c:pt idx="1">
                  <c:v>3500-4500元</c:v>
                </c:pt>
                <c:pt idx="2">
                  <c:v>4500-5500元</c:v>
                </c:pt>
                <c:pt idx="3">
                  <c:v>2500元以下</c:v>
                </c:pt>
                <c:pt idx="4">
                  <c:v>5500-6500元</c:v>
                </c:pt>
                <c:pt idx="5">
                  <c:v>6500以上</c:v>
                </c:pt>
              </c:strCache>
            </c:strRef>
          </c:cat>
          <c:val>
            <c:numRef>
              <c:f>[2018数据.xls]Sheet2!$B$39:$B$44</c:f>
              <c:numCache>
                <c:formatCode>0.00%</c:formatCode>
                <c:ptCount val="6"/>
                <c:pt idx="0">
                  <c:v>0.4869</c:v>
                </c:pt>
                <c:pt idx="1">
                  <c:v>0.2731</c:v>
                </c:pt>
                <c:pt idx="2">
                  <c:v>0.1258</c:v>
                </c:pt>
                <c:pt idx="3">
                  <c:v>0.0743</c:v>
                </c:pt>
                <c:pt idx="4">
                  <c:v>0.0214</c:v>
                </c:pt>
                <c:pt idx="5">
                  <c:v>0.0185</c:v>
                </c:pt>
              </c:numCache>
            </c:numRef>
          </c:val>
        </c:ser>
        <c:dLbls>
          <c:showLegendKey val="0"/>
          <c:showVal val="1"/>
          <c:showCatName val="0"/>
          <c:showSerName val="0"/>
          <c:showPercent val="0"/>
          <c:showBubbleSize val="0"/>
        </c:dLbls>
        <c:gapWidth val="219"/>
        <c:overlap val="-27"/>
        <c:axId val="735661424"/>
        <c:axId val="735662992"/>
      </c:barChart>
      <c:catAx>
        <c:axId val="7356614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5662992"/>
        <c:crosses val="autoZero"/>
        <c:auto val="1"/>
        <c:lblAlgn val="ctr"/>
        <c:lblOffset val="100"/>
        <c:noMultiLvlLbl val="0"/>
      </c:catAx>
      <c:valAx>
        <c:axId val="7356629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5661424"/>
        <c:crosses val="autoZero"/>
        <c:crossBetween val="between"/>
      </c:valAx>
      <c:spPr>
        <a:noFill/>
        <a:ln>
          <a:noFill/>
        </a:ln>
        <a:effectLst/>
      </c:spPr>
    </c:plotArea>
    <c:plotVisOnly val="1"/>
    <c:dispBlanksAs val="gap"/>
    <c:showDLblsOverMax val="0"/>
  </c:chart>
  <c:spPr>
    <a:solidFill>
      <a:schemeClr val="accent3">
        <a:lumMod val="60000"/>
        <a:lumOff val="4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solidFill>
                <a:schemeClr val="bg1"/>
              </a:solid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[2018数据.xls]Sheet2!$A$49:$A$53</c:f>
              <c:strCache>
                <c:ptCount val="5"/>
                <c:pt idx="0">
                  <c:v>很对口</c:v>
                </c:pt>
                <c:pt idx="1">
                  <c:v>比较对口</c:v>
                </c:pt>
                <c:pt idx="2">
                  <c:v>一般对口</c:v>
                </c:pt>
                <c:pt idx="3">
                  <c:v>比较不对口</c:v>
                </c:pt>
                <c:pt idx="4">
                  <c:v>很不对口</c:v>
                </c:pt>
              </c:strCache>
            </c:strRef>
          </c:cat>
          <c:val>
            <c:numRef>
              <c:f>[2018数据.xls]Sheet2!$B$49:$B$53</c:f>
              <c:numCache>
                <c:formatCode>0%</c:formatCode>
                <c:ptCount val="5"/>
                <c:pt idx="0">
                  <c:v>0.38</c:v>
                </c:pt>
                <c:pt idx="1">
                  <c:v>0.31</c:v>
                </c:pt>
                <c:pt idx="2">
                  <c:v>0.22</c:v>
                </c:pt>
                <c:pt idx="3">
                  <c:v>0.06</c:v>
                </c:pt>
                <c:pt idx="4">
                  <c:v>0.03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lt1"/>
        </a:gs>
        <a:gs pos="39000">
          <a:schemeClr val="lt1"/>
        </a:gs>
        <a:gs pos="100000">
          <a:schemeClr val="lt1">
            <a:lumMod val="75000"/>
          </a:schemeClr>
        </a:gs>
      </a:gsLst>
      <a:path path="circle"/>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[2018数据.xls]Sheet2!$J$33:$J$37</c:f>
              <c:strCache>
                <c:ptCount val="5"/>
                <c:pt idx="0">
                  <c:v>很满意</c:v>
                </c:pt>
                <c:pt idx="1">
                  <c:v>比较满意</c:v>
                </c:pt>
                <c:pt idx="2">
                  <c:v>一般</c:v>
                </c:pt>
                <c:pt idx="3">
                  <c:v>比较不满意</c:v>
                </c:pt>
                <c:pt idx="4">
                  <c:v>很不满意</c:v>
                </c:pt>
              </c:strCache>
            </c:strRef>
          </c:cat>
          <c:val>
            <c:numRef>
              <c:f>[2018数据.xls]Sheet2!$K$33:$K$37</c:f>
              <c:numCache>
                <c:formatCode>0%</c:formatCode>
                <c:ptCount val="5"/>
                <c:pt idx="0">
                  <c:v>0.4</c:v>
                </c:pt>
                <c:pt idx="1">
                  <c:v>0.39</c:v>
                </c:pt>
                <c:pt idx="2">
                  <c:v>0.19</c:v>
                </c:pt>
                <c:pt idx="3">
                  <c:v>0.01</c:v>
                </c:pt>
                <c:pt idx="4">
                  <c:v>0.01</c:v>
                </c:pt>
              </c:numCache>
            </c:numRef>
          </c:val>
        </c:ser>
        <c:dLbls>
          <c:showLegendKey val="0"/>
          <c:showVal val="1"/>
          <c:showCatName val="0"/>
          <c:showSerName val="0"/>
          <c:showPercent val="0"/>
          <c:showBubbleSize val="0"/>
        </c:dLbls>
        <c:gapWidth val="219"/>
        <c:overlap val="-27"/>
        <c:axId val="735662208"/>
        <c:axId val="735662600"/>
      </c:barChart>
      <c:catAx>
        <c:axId val="7356622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5662600"/>
        <c:crosses val="autoZero"/>
        <c:auto val="1"/>
        <c:lblAlgn val="ctr"/>
        <c:lblOffset val="100"/>
        <c:noMultiLvlLbl val="0"/>
      </c:catAx>
      <c:valAx>
        <c:axId val="735662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5662208"/>
        <c:crosses val="autoZero"/>
        <c:crossBetween val="between"/>
      </c:valAx>
      <c:spPr>
        <a:noFill/>
        <a:ln>
          <a:noFill/>
        </a:ln>
        <a:effectLst/>
      </c:spPr>
    </c:plotArea>
    <c:plotVisOnly val="1"/>
    <c:dispBlanksAs val="gap"/>
    <c:showDLblsOverMax val="0"/>
  </c:chart>
  <c:spPr>
    <a:solidFill>
      <a:schemeClr val="accent2">
        <a:lumMod val="40000"/>
        <a:lumOff val="6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[2018数据.xls]Sheet2!$I$16:$I$25</c:f>
              <c:strCache>
                <c:ptCount val="10"/>
                <c:pt idx="0">
                  <c:v>学校网站发布的就业信息</c:v>
                </c:pt>
                <c:pt idx="1">
                  <c:v>校外现场招聘会</c:v>
                </c:pt>
                <c:pt idx="2">
                  <c:v>其他</c:v>
                </c:pt>
                <c:pt idx="3">
                  <c:v>学校提供的实习、实践机会</c:v>
                </c:pt>
                <c:pt idx="4">
                  <c:v>学校及老师的推荐</c:v>
                </c:pt>
                <c:pt idx="5">
                  <c:v>校内招聘会</c:v>
                </c:pt>
                <c:pt idx="6">
                  <c:v>父母及亲友推荐</c:v>
                </c:pt>
                <c:pt idx="7">
                  <c:v>专业化招聘求职网站</c:v>
                </c:pt>
                <c:pt idx="8">
                  <c:v>直接向用人单位申请</c:v>
                </c:pt>
                <c:pt idx="9">
                  <c:v>顶岗实习</c:v>
                </c:pt>
              </c:strCache>
            </c:strRef>
          </c:cat>
          <c:val>
            <c:numRef>
              <c:f>[2018数据.xls]Sheet2!$J$16:$J$25</c:f>
              <c:numCache>
                <c:formatCode>0.00%</c:formatCode>
                <c:ptCount val="10"/>
                <c:pt idx="0">
                  <c:v>0.0366</c:v>
                </c:pt>
                <c:pt idx="1">
                  <c:v>0.0132</c:v>
                </c:pt>
                <c:pt idx="2">
                  <c:v>0.0123</c:v>
                </c:pt>
                <c:pt idx="3">
                  <c:v>0.032</c:v>
                </c:pt>
                <c:pt idx="4">
                  <c:v>0.0481</c:v>
                </c:pt>
                <c:pt idx="5">
                  <c:v>0.1262</c:v>
                </c:pt>
                <c:pt idx="6">
                  <c:v>0.0934</c:v>
                </c:pt>
                <c:pt idx="7">
                  <c:v>0.1423</c:v>
                </c:pt>
                <c:pt idx="8">
                  <c:v>0.208</c:v>
                </c:pt>
                <c:pt idx="9">
                  <c:v>0.2879</c:v>
                </c:pt>
              </c:numCache>
            </c:numRef>
          </c:val>
        </c:ser>
        <c:dLbls>
          <c:showLegendKey val="0"/>
          <c:showVal val="1"/>
          <c:showCatName val="0"/>
          <c:showSerName val="0"/>
          <c:showPercent val="0"/>
          <c:showBubbleSize val="0"/>
        </c:dLbls>
        <c:gapWidth val="182"/>
        <c:axId val="480341016"/>
        <c:axId val="480335920"/>
      </c:barChart>
      <c:catAx>
        <c:axId val="480341016"/>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0335920"/>
        <c:crosses val="autoZero"/>
        <c:auto val="1"/>
        <c:lblAlgn val="ctr"/>
        <c:lblOffset val="100"/>
        <c:noMultiLvlLbl val="0"/>
      </c:catAx>
      <c:valAx>
        <c:axId val="48033592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0341016"/>
        <c:crosses val="autoZero"/>
        <c:crossBetween val="between"/>
      </c:valAx>
      <c:spPr>
        <a:solidFill>
          <a:schemeClr val="accent6">
            <a:lumMod val="60000"/>
            <a:lumOff val="40000"/>
          </a:schemeClr>
        </a:solidFill>
        <a:ln>
          <a:noFill/>
        </a:ln>
        <a:effectLst/>
      </c:spPr>
    </c:plotArea>
    <c:plotVisOnly val="1"/>
    <c:dispBlanksAs val="gap"/>
    <c:showDLblsOverMax val="0"/>
  </c:chart>
  <c:spPr>
    <a:solidFill>
      <a:schemeClr val="accent6">
        <a:lumMod val="60000"/>
        <a:lumOff val="4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[2018数据.xls]Sheet2!$A$79:$A$86</c:f>
              <c:strCache>
                <c:ptCount val="8"/>
                <c:pt idx="0">
                  <c:v>缺乏实践经验</c:v>
                </c:pt>
                <c:pt idx="1">
                  <c:v>缺乏求职技巧</c:v>
                </c:pt>
                <c:pt idx="2">
                  <c:v>缺乏社会关系</c:v>
                </c:pt>
                <c:pt idx="3">
                  <c:v>存在就业歧视</c:v>
                </c:pt>
                <c:pt idx="4">
                  <c:v>缺乏职业生涯规划</c:v>
                </c:pt>
                <c:pt idx="5">
                  <c:v>缺乏过硬知识储备</c:v>
                </c:pt>
                <c:pt idx="6">
                  <c:v>好高骛远，不求实际</c:v>
                </c:pt>
                <c:pt idx="7">
                  <c:v>依赖性强，创造力差</c:v>
                </c:pt>
              </c:strCache>
            </c:strRef>
          </c:cat>
          <c:val>
            <c:numRef>
              <c:f>[2018数据.xls]Sheet2!$B$79:$B$86</c:f>
              <c:numCache>
                <c:formatCode>0.00%</c:formatCode>
                <c:ptCount val="8"/>
                <c:pt idx="0">
                  <c:v>0.6247</c:v>
                </c:pt>
                <c:pt idx="1">
                  <c:v>0.3806</c:v>
                </c:pt>
                <c:pt idx="2">
                  <c:v>0.1899</c:v>
                </c:pt>
                <c:pt idx="3">
                  <c:v>0.0412</c:v>
                </c:pt>
                <c:pt idx="4">
                  <c:v>0.4683</c:v>
                </c:pt>
                <c:pt idx="5">
                  <c:v>0.376</c:v>
                </c:pt>
                <c:pt idx="6">
                  <c:v>0.197</c:v>
                </c:pt>
                <c:pt idx="7">
                  <c:v>0.2254</c:v>
                </c:pt>
              </c:numCache>
            </c:numRef>
          </c:val>
        </c:ser>
        <c:dLbls>
          <c:showLegendKey val="0"/>
          <c:showVal val="1"/>
          <c:showCatName val="0"/>
          <c:showSerName val="0"/>
          <c:showPercent val="0"/>
          <c:showBubbleSize val="0"/>
        </c:dLbls>
        <c:gapWidth val="182"/>
        <c:axId val="638102960"/>
        <c:axId val="638104136"/>
      </c:barChart>
      <c:catAx>
        <c:axId val="63810296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8104136"/>
        <c:crosses val="autoZero"/>
        <c:auto val="1"/>
        <c:lblAlgn val="ctr"/>
        <c:lblOffset val="100"/>
        <c:noMultiLvlLbl val="0"/>
      </c:catAx>
      <c:valAx>
        <c:axId val="63810413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8102960"/>
        <c:crosses val="autoZero"/>
        <c:crossBetween val="between"/>
      </c:valAx>
      <c:spPr>
        <a:noFill/>
        <a:ln>
          <a:noFill/>
        </a:ln>
        <a:effectLst/>
      </c:spPr>
    </c:plotArea>
    <c:plotVisOnly val="1"/>
    <c:dispBlanksAs val="gap"/>
    <c:showDLblsOverMax val="0"/>
  </c:chart>
  <c:spPr>
    <a:solidFill>
      <a:schemeClr val="accent3">
        <a:lumMod val="60000"/>
        <a:lumOff val="4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[2018数据.xls]Sheet2!$A$16:$A$22</c:f>
              <c:strCache>
                <c:ptCount val="7"/>
                <c:pt idx="0">
                  <c:v>校园招聘会</c:v>
                </c:pt>
                <c:pt idx="1">
                  <c:v>就业指导课</c:v>
                </c:pt>
                <c:pt idx="2">
                  <c:v>就业实习、实践</c:v>
                </c:pt>
                <c:pt idx="3">
                  <c:v>职业咨询与辅导</c:v>
                </c:pt>
                <c:pt idx="4">
                  <c:v>招聘信息发布</c:v>
                </c:pt>
                <c:pt idx="5">
                  <c:v>就业帮扶与推荐</c:v>
                </c:pt>
                <c:pt idx="6">
                  <c:v>就业手续办理</c:v>
                </c:pt>
              </c:strCache>
            </c:strRef>
          </c:cat>
          <c:val>
            <c:numRef>
              <c:f>[2018数据.xls]Sheet2!$B$16:$B$22</c:f>
              <c:numCache>
                <c:formatCode>0.00%</c:formatCode>
                <c:ptCount val="7"/>
                <c:pt idx="0">
                  <c:v>0.9986</c:v>
                </c:pt>
                <c:pt idx="1">
                  <c:v>0.9837</c:v>
                </c:pt>
                <c:pt idx="2">
                  <c:v>0.9882</c:v>
                </c:pt>
                <c:pt idx="3">
                  <c:v>0.9695</c:v>
                </c:pt>
                <c:pt idx="4">
                  <c:v>0.9651</c:v>
                </c:pt>
                <c:pt idx="5">
                  <c:v>0.9703</c:v>
                </c:pt>
                <c:pt idx="6">
                  <c:v>0.9722</c:v>
                </c:pt>
              </c:numCache>
            </c:numRef>
          </c:val>
        </c:ser>
        <c:dLbls>
          <c:showLegendKey val="0"/>
          <c:showVal val="1"/>
          <c:showCatName val="0"/>
          <c:showSerName val="0"/>
          <c:showPercent val="0"/>
          <c:showBubbleSize val="0"/>
        </c:dLbls>
        <c:gapWidth val="182"/>
        <c:axId val="477065880"/>
        <c:axId val="477064312"/>
      </c:barChart>
      <c:catAx>
        <c:axId val="47706588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7064312"/>
        <c:crosses val="autoZero"/>
        <c:auto val="1"/>
        <c:lblAlgn val="ctr"/>
        <c:lblOffset val="100"/>
        <c:noMultiLvlLbl val="0"/>
      </c:catAx>
      <c:valAx>
        <c:axId val="47706431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7065880"/>
        <c:crosses val="autoZero"/>
        <c:crossBetween val="between"/>
      </c:valAx>
      <c:spPr>
        <a:noFill/>
        <a:ln>
          <a:noFill/>
        </a:ln>
        <a:effectLst/>
      </c:spPr>
    </c:plotArea>
    <c:plotVisOnly val="1"/>
    <c:dispBlanksAs val="gap"/>
    <c:showDLblsOverMax val="0"/>
  </c:chart>
  <c:spPr>
    <a:solidFill>
      <a:schemeClr val="accent3"/>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[2018数据.xls]Sheet2!$A$16:$A$22</c:f>
              <c:strCache>
                <c:ptCount val="7"/>
                <c:pt idx="0">
                  <c:v>校园招聘会</c:v>
                </c:pt>
                <c:pt idx="1">
                  <c:v>就业指导课</c:v>
                </c:pt>
                <c:pt idx="2">
                  <c:v>就业实习、实践</c:v>
                </c:pt>
                <c:pt idx="3">
                  <c:v>职业咨询与辅导</c:v>
                </c:pt>
                <c:pt idx="4">
                  <c:v>招聘信息发布</c:v>
                </c:pt>
                <c:pt idx="5">
                  <c:v>就业帮扶与推荐</c:v>
                </c:pt>
                <c:pt idx="6">
                  <c:v>就业手续办理</c:v>
                </c:pt>
              </c:strCache>
            </c:strRef>
          </c:cat>
          <c:val>
            <c:numRef>
              <c:f>[2018数据.xls]Sheet2!$B$16:$B$22</c:f>
              <c:numCache>
                <c:formatCode>0.00%</c:formatCode>
                <c:ptCount val="7"/>
                <c:pt idx="0">
                  <c:v>0.9888</c:v>
                </c:pt>
                <c:pt idx="1">
                  <c:v>0.9925</c:v>
                </c:pt>
                <c:pt idx="2">
                  <c:v>0.9908</c:v>
                </c:pt>
                <c:pt idx="3">
                  <c:v>0.9967</c:v>
                </c:pt>
                <c:pt idx="4">
                  <c:v>0.979</c:v>
                </c:pt>
                <c:pt idx="5">
                  <c:v>0.9773</c:v>
                </c:pt>
                <c:pt idx="6">
                  <c:v>0.9854</c:v>
                </c:pt>
              </c:numCache>
            </c:numRef>
          </c:val>
        </c:ser>
        <c:dLbls>
          <c:showLegendKey val="0"/>
          <c:showVal val="1"/>
          <c:showCatName val="0"/>
          <c:showSerName val="0"/>
          <c:showPercent val="0"/>
          <c:showBubbleSize val="0"/>
        </c:dLbls>
        <c:gapWidth val="75"/>
        <c:axId val="478572776"/>
        <c:axId val="364699112"/>
      </c:barChart>
      <c:catAx>
        <c:axId val="478572776"/>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4699112"/>
        <c:crosses val="autoZero"/>
        <c:auto val="1"/>
        <c:lblAlgn val="ctr"/>
        <c:lblOffset val="100"/>
        <c:noMultiLvlLbl val="0"/>
      </c:catAx>
      <c:valAx>
        <c:axId val="364699112"/>
        <c:scaling>
          <c:orientation val="minMax"/>
        </c:scaling>
        <c:delete val="1"/>
        <c:axPos val="b"/>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8572776"/>
        <c:crosses val="autoZero"/>
        <c:crossBetween val="between"/>
      </c:valAx>
      <c:spPr>
        <a:noFill/>
        <a:ln>
          <a:noFill/>
        </a:ln>
        <a:effectLst/>
      </c:spPr>
    </c:plotArea>
    <c:plotVisOnly val="1"/>
    <c:dispBlanksAs val="gap"/>
    <c:showDLblsOverMax val="0"/>
  </c:chart>
  <c:spPr>
    <a:solidFill>
      <a:schemeClr val="bg1">
        <a:lumMod val="75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[2018数据.xls]Sheet2!$A$30:$A$33</c:f>
              <c:strCache>
                <c:ptCount val="4"/>
                <c:pt idx="0">
                  <c:v>创新创业大赛</c:v>
                </c:pt>
                <c:pt idx="1">
                  <c:v>创业协会</c:v>
                </c:pt>
                <c:pt idx="2">
                  <c:v>创业实训与模拟</c:v>
                </c:pt>
                <c:pt idx="3">
                  <c:v>创业课程</c:v>
                </c:pt>
              </c:strCache>
            </c:strRef>
          </c:cat>
          <c:val>
            <c:numRef>
              <c:f>[2018数据.xls]Sheet2!$B$30:$B$33</c:f>
              <c:numCache>
                <c:formatCode>0.00%</c:formatCode>
                <c:ptCount val="4"/>
                <c:pt idx="0">
                  <c:v>0.9943</c:v>
                </c:pt>
                <c:pt idx="1">
                  <c:v>0.991</c:v>
                </c:pt>
                <c:pt idx="2">
                  <c:v>0.9728</c:v>
                </c:pt>
                <c:pt idx="3">
                  <c:v>0.9879</c:v>
                </c:pt>
              </c:numCache>
            </c:numRef>
          </c:val>
        </c:ser>
        <c:dLbls>
          <c:showLegendKey val="0"/>
          <c:showVal val="1"/>
          <c:showCatName val="0"/>
          <c:showSerName val="0"/>
          <c:showPercent val="0"/>
          <c:showBubbleSize val="0"/>
        </c:dLbls>
        <c:gapWidth val="219"/>
        <c:overlap val="-27"/>
        <c:axId val="736564848"/>
        <c:axId val="736564456"/>
      </c:barChart>
      <c:catAx>
        <c:axId val="7365648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6564456"/>
        <c:crosses val="autoZero"/>
        <c:auto val="1"/>
        <c:lblAlgn val="ctr"/>
        <c:lblOffset val="100"/>
        <c:noMultiLvlLbl val="0"/>
      </c:catAx>
      <c:valAx>
        <c:axId val="73656445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6564848"/>
        <c:crosses val="autoZero"/>
        <c:crossBetween val="between"/>
      </c:valAx>
      <c:spPr>
        <a:noFill/>
        <a:ln>
          <a:noFill/>
        </a:ln>
        <a:effectLst/>
      </c:spPr>
    </c:plotArea>
    <c:plotVisOnly val="1"/>
    <c:dispBlanksAs val="gap"/>
    <c:showDLblsOverMax val="0"/>
  </c:chart>
  <c:spPr>
    <a:solidFill>
      <a:schemeClr val="accent5">
        <a:lumMod val="40000"/>
        <a:lumOff val="6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en-US" altLang="zh-CN" b="1"/>
              <a:t>2016-2018</a:t>
            </a:r>
            <a:r>
              <a:rPr lang="zh-CN" altLang="en-US" b="1"/>
              <a:t>年就业率分布</a:t>
            </a:r>
            <a:endParaRPr lang="zh-CN" altLang="en-US" b="1"/>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[2018数据.xls]Sheet2!$G$55:$G$57</c:f>
              <c:strCache>
                <c:ptCount val="3"/>
                <c:pt idx="0">
                  <c:v>2016年</c:v>
                </c:pt>
                <c:pt idx="1">
                  <c:v>2017年</c:v>
                </c:pt>
                <c:pt idx="2">
                  <c:v>2018年</c:v>
                </c:pt>
              </c:strCache>
            </c:strRef>
          </c:cat>
          <c:val>
            <c:numRef>
              <c:f>[2018数据.xls]Sheet2!$H$55:$H$57</c:f>
              <c:numCache>
                <c:formatCode>0.00%</c:formatCode>
                <c:ptCount val="3"/>
                <c:pt idx="0">
                  <c:v>0.7872</c:v>
                </c:pt>
                <c:pt idx="1">
                  <c:v>0.8262</c:v>
                </c:pt>
                <c:pt idx="2">
                  <c:v>0.8245</c:v>
                </c:pt>
              </c:numCache>
            </c:numRef>
          </c:val>
          <c:smooth val="0"/>
        </c:ser>
        <c:dLbls>
          <c:showLegendKey val="0"/>
          <c:showVal val="1"/>
          <c:showCatName val="0"/>
          <c:showSerName val="0"/>
          <c:showPercent val="0"/>
          <c:showBubbleSize val="0"/>
        </c:dLbls>
        <c:marker val="0"/>
        <c:smooth val="0"/>
        <c:axId val="736565632"/>
        <c:axId val="736556616"/>
      </c:lineChart>
      <c:catAx>
        <c:axId val="7365656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6556616"/>
        <c:crosses val="autoZero"/>
        <c:auto val="1"/>
        <c:lblAlgn val="ctr"/>
        <c:lblOffset val="100"/>
        <c:noMultiLvlLbl val="0"/>
      </c:catAx>
      <c:valAx>
        <c:axId val="7365566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6565632"/>
        <c:crosses val="autoZero"/>
        <c:crossBetween val="between"/>
      </c:valAx>
      <c:spPr>
        <a:noFill/>
        <a:ln>
          <a:noFill/>
        </a:ln>
        <a:effectLst/>
      </c:spPr>
    </c:plotArea>
    <c:plotVisOnly val="1"/>
    <c:dispBlanksAs val="gap"/>
    <c:showDLblsOverMax val="0"/>
  </c:chart>
  <c:spPr>
    <a:solidFill>
      <a:schemeClr val="accent2">
        <a:lumMod val="60000"/>
        <a:lumOff val="4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[2018数据.xls]Sheet2!$A$68</c:f>
              <c:strCache>
                <c:ptCount val="1"/>
                <c:pt idx="0">
                  <c:v>签协议就业率</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[2018数据.xls]Sheet2!$B$67:$D$67</c:f>
              <c:numCache>
                <c:formatCode>General</c:formatCode>
                <c:ptCount val="3"/>
                <c:pt idx="0">
                  <c:v>2016</c:v>
                </c:pt>
                <c:pt idx="1">
                  <c:v>2017</c:v>
                </c:pt>
                <c:pt idx="2">
                  <c:v>2018</c:v>
                </c:pt>
              </c:numCache>
            </c:numRef>
          </c:cat>
          <c:val>
            <c:numRef>
              <c:f>[2018数据.xls]Sheet2!$B$68:$D$68</c:f>
              <c:numCache>
                <c:formatCode>0.00%</c:formatCode>
                <c:ptCount val="3"/>
                <c:pt idx="0">
                  <c:v>0.6967</c:v>
                </c:pt>
                <c:pt idx="1" c:formatCode="0%">
                  <c:v>0.7</c:v>
                </c:pt>
                <c:pt idx="2">
                  <c:v>0.6437</c:v>
                </c:pt>
              </c:numCache>
            </c:numRef>
          </c:val>
        </c:ser>
        <c:ser>
          <c:idx val="1"/>
          <c:order val="1"/>
          <c:tx>
            <c:strRef>
              <c:f>[2018数据.xls]Sheet2!$A$69</c:f>
              <c:strCache>
                <c:ptCount val="1"/>
                <c:pt idx="0">
                  <c:v>签劳动合同就业率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[2018数据.xls]Sheet2!$B$67:$D$67</c:f>
              <c:numCache>
                <c:formatCode>General</c:formatCode>
                <c:ptCount val="3"/>
                <c:pt idx="0">
                  <c:v>2016</c:v>
                </c:pt>
                <c:pt idx="1">
                  <c:v>2017</c:v>
                </c:pt>
                <c:pt idx="2">
                  <c:v>2018</c:v>
                </c:pt>
              </c:numCache>
            </c:numRef>
          </c:cat>
          <c:val>
            <c:numRef>
              <c:f>[2018数据.xls]Sheet2!$B$69:$D$69</c:f>
              <c:numCache>
                <c:formatCode>0.00%</c:formatCode>
                <c:ptCount val="3"/>
                <c:pt idx="0">
                  <c:v>0.0202</c:v>
                </c:pt>
                <c:pt idx="1">
                  <c:v>0.014</c:v>
                </c:pt>
                <c:pt idx="2">
                  <c:v>0.0465</c:v>
                </c:pt>
              </c:numCache>
            </c:numRef>
          </c:val>
        </c:ser>
        <c:ser>
          <c:idx val="2"/>
          <c:order val="2"/>
          <c:tx>
            <c:strRef>
              <c:f>[2018数据.xls]Sheet2!$A$70</c:f>
              <c:strCache>
                <c:ptCount val="1"/>
                <c:pt idx="0">
                  <c:v>灵活就业率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[2018数据.xls]Sheet2!$B$67:$D$67</c:f>
              <c:numCache>
                <c:formatCode>General</c:formatCode>
                <c:ptCount val="3"/>
                <c:pt idx="0">
                  <c:v>2016</c:v>
                </c:pt>
                <c:pt idx="1">
                  <c:v>2017</c:v>
                </c:pt>
                <c:pt idx="2">
                  <c:v>2018</c:v>
                </c:pt>
              </c:numCache>
            </c:numRef>
          </c:cat>
          <c:val>
            <c:numRef>
              <c:f>[2018数据.xls]Sheet2!$B$70:$D$70</c:f>
              <c:numCache>
                <c:formatCode>0.00%</c:formatCode>
                <c:ptCount val="3"/>
                <c:pt idx="0">
                  <c:v>0.022</c:v>
                </c:pt>
                <c:pt idx="1">
                  <c:v>0.0182</c:v>
                </c:pt>
                <c:pt idx="2">
                  <c:v>0.0388</c:v>
                </c:pt>
              </c:numCache>
            </c:numRef>
          </c:val>
        </c:ser>
        <c:dLbls>
          <c:showLegendKey val="0"/>
          <c:showVal val="1"/>
          <c:showCatName val="0"/>
          <c:showSerName val="0"/>
          <c:showPercent val="0"/>
          <c:showBubbleSize val="0"/>
        </c:dLbls>
        <c:gapWidth val="75"/>
        <c:axId val="736563280"/>
        <c:axId val="736557400"/>
      </c:barChart>
      <c:catAx>
        <c:axId val="7365632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6557400"/>
        <c:crosses val="autoZero"/>
        <c:auto val="1"/>
        <c:lblAlgn val="ctr"/>
        <c:lblOffset val="100"/>
        <c:noMultiLvlLbl val="0"/>
      </c:catAx>
      <c:valAx>
        <c:axId val="73655740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65632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accent5">
        <a:lumMod val="40000"/>
        <a:lumOff val="6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t>生源地分布</a:t>
            </a:r>
            <a:endParaRPr lang="zh-CN" altLang="en-US"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solidFill>
                <a:schemeClr val="bg1"/>
              </a:solid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[2018.xls]Sheet2!$A$9:$A$10</c:f>
              <c:strCache>
                <c:ptCount val="2"/>
                <c:pt idx="0">
                  <c:v>长春地区</c:v>
                </c:pt>
                <c:pt idx="1">
                  <c:v>省内其他地区</c:v>
                </c:pt>
              </c:strCache>
            </c:strRef>
          </c:cat>
          <c:val>
            <c:numRef>
              <c:f>[2018.xls]Sheet2!$B$9:$B$10</c:f>
              <c:numCache>
                <c:formatCode>General</c:formatCode>
                <c:ptCount val="2"/>
                <c:pt idx="0">
                  <c:v>366</c:v>
                </c:pt>
                <c:pt idx="1">
                  <c:v>1697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[2018数据.xls]Sheet2!$H$43:$H$49</c:f>
              <c:strCache>
                <c:ptCount val="7"/>
                <c:pt idx="0">
                  <c:v>很好（适应工作能力）</c:v>
                </c:pt>
                <c:pt idx="1">
                  <c:v>很强（动手能力）</c:v>
                </c:pt>
                <c:pt idx="2">
                  <c:v>较好（心里承受能力）</c:v>
                </c:pt>
                <c:pt idx="3">
                  <c:v>一般（科研创新）</c:v>
                </c:pt>
                <c:pt idx="4">
                  <c:v>很好（专业素养）</c:v>
                </c:pt>
                <c:pt idx="5">
                  <c:v>很好（敬业精神）</c:v>
                </c:pt>
                <c:pt idx="6">
                  <c:v>很好（英语水平）</c:v>
                </c:pt>
              </c:strCache>
            </c:strRef>
          </c:cat>
          <c:val>
            <c:numRef>
              <c:f>[2018数据.xls]Sheet2!$I$43:$I$49</c:f>
              <c:numCache>
                <c:formatCode>0.00%</c:formatCode>
                <c:ptCount val="7"/>
                <c:pt idx="0">
                  <c:v>0.9845</c:v>
                </c:pt>
                <c:pt idx="1">
                  <c:v>0.9608</c:v>
                </c:pt>
                <c:pt idx="2">
                  <c:v>0.9524</c:v>
                </c:pt>
                <c:pt idx="3">
                  <c:v>0.904</c:v>
                </c:pt>
                <c:pt idx="4">
                  <c:v>0.9797</c:v>
                </c:pt>
                <c:pt idx="5">
                  <c:v>0.9811</c:v>
                </c:pt>
                <c:pt idx="6">
                  <c:v>0.8862</c:v>
                </c:pt>
              </c:numCache>
            </c:numRef>
          </c:val>
        </c:ser>
        <c:dLbls>
          <c:showLegendKey val="0"/>
          <c:showVal val="1"/>
          <c:showCatName val="0"/>
          <c:showSerName val="0"/>
          <c:showPercent val="0"/>
          <c:showBubbleSize val="0"/>
        </c:dLbls>
        <c:gapWidth val="219"/>
        <c:overlap val="-27"/>
        <c:axId val="736557008"/>
        <c:axId val="736560536"/>
      </c:barChart>
      <c:catAx>
        <c:axId val="736557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736560536"/>
        <c:crosses val="autoZero"/>
        <c:auto val="1"/>
        <c:lblAlgn val="ctr"/>
        <c:lblOffset val="100"/>
        <c:noMultiLvlLbl val="0"/>
      </c:catAx>
      <c:valAx>
        <c:axId val="7365605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6557008"/>
        <c:crosses val="autoZero"/>
        <c:crossBetween val="between"/>
      </c:valAx>
      <c:spPr>
        <a:noFill/>
        <a:ln>
          <a:noFill/>
        </a:ln>
        <a:effectLst/>
      </c:spPr>
    </c:plotArea>
    <c:plotVisOnly val="1"/>
    <c:dispBlanksAs val="gap"/>
    <c:showDLblsOverMax val="0"/>
  </c:chart>
  <c:spPr>
    <a:solidFill>
      <a:schemeClr val="accent3">
        <a:lumMod val="60000"/>
        <a:lumOff val="4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t>各分院就业率</a:t>
            </a:r>
            <a:endParaRPr lang="zh-CN" altLang="en-US" b="1"/>
          </a:p>
        </c:rich>
      </c:tx>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[2018.xls]Sheet2!$A$1:$A$7</c:f>
              <c:strCache>
                <c:ptCount val="7"/>
                <c:pt idx="0">
                  <c:v>会计学院</c:v>
                </c:pt>
                <c:pt idx="1">
                  <c:v>机电工程学院</c:v>
                </c:pt>
                <c:pt idx="2">
                  <c:v>经济管理学院</c:v>
                </c:pt>
                <c:pt idx="3">
                  <c:v>建筑工程学院</c:v>
                </c:pt>
                <c:pt idx="4">
                  <c:v>信息传媒学院</c:v>
                </c:pt>
                <c:pt idx="5">
                  <c:v>文化旅游学院</c:v>
                </c:pt>
                <c:pt idx="6">
                  <c:v>食品药品工程学院</c:v>
                </c:pt>
              </c:strCache>
            </c:strRef>
          </c:cat>
          <c:val>
            <c:numRef>
              <c:f>[2018.xls]Sheet2!$B$1:$B$7</c:f>
              <c:numCache>
                <c:formatCode>0.00%</c:formatCode>
                <c:ptCount val="7"/>
                <c:pt idx="0">
                  <c:v>0.8465</c:v>
                </c:pt>
                <c:pt idx="1">
                  <c:v>0.8264</c:v>
                </c:pt>
                <c:pt idx="2">
                  <c:v>0.859</c:v>
                </c:pt>
                <c:pt idx="3">
                  <c:v>0.8026</c:v>
                </c:pt>
                <c:pt idx="4">
                  <c:v>0.7986</c:v>
                </c:pt>
                <c:pt idx="5">
                  <c:v>0.8032</c:v>
                </c:pt>
                <c:pt idx="6">
                  <c:v>0.781</c:v>
                </c:pt>
              </c:numCache>
            </c:numRef>
          </c:val>
        </c:ser>
        <c:dLbls>
          <c:showLegendKey val="0"/>
          <c:showVal val="1"/>
          <c:showCatName val="0"/>
          <c:showSerName val="0"/>
          <c:showPercent val="0"/>
          <c:showBubbleSize val="0"/>
        </c:dLbls>
        <c:gapWidth val="182"/>
        <c:axId val="709668136"/>
        <c:axId val="709668528"/>
      </c:barChart>
      <c:catAx>
        <c:axId val="709668136"/>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9668528"/>
        <c:crosses val="autoZero"/>
        <c:auto val="1"/>
        <c:lblAlgn val="ctr"/>
        <c:lblOffset val="100"/>
        <c:noMultiLvlLbl val="0"/>
      </c:catAx>
      <c:valAx>
        <c:axId val="709668528"/>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9668136"/>
        <c:crosses val="autoZero"/>
        <c:crossBetween val="between"/>
      </c:valAx>
      <c:spPr>
        <a:noFill/>
        <a:ln>
          <a:noFill/>
        </a:ln>
        <a:effectLst/>
      </c:spPr>
    </c:plotArea>
    <c:plotVisOnly val="1"/>
    <c:dispBlanksAs val="gap"/>
    <c:showDLblsOverMax val="0"/>
  </c:chart>
  <c:spPr>
    <a:solidFill>
      <a:schemeClr val="accent3">
        <a:lumMod val="40000"/>
        <a:lumOff val="6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b="1"/>
              <a:t>未就业情况分析</a:t>
            </a:r>
            <a:endParaRPr lang="zh-CN" altLang="en-US" b="1"/>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[2018数据.xls]Sheet2!$A$3:$A$6</c:f>
              <c:strCache>
                <c:ptCount val="4"/>
                <c:pt idx="0">
                  <c:v>拟参加公招考试</c:v>
                </c:pt>
                <c:pt idx="1">
                  <c:v>拟创业</c:v>
                </c:pt>
                <c:pt idx="2">
                  <c:v>签约中</c:v>
                </c:pt>
                <c:pt idx="3">
                  <c:v>求职中</c:v>
                </c:pt>
              </c:strCache>
            </c:strRef>
          </c:cat>
          <c:val>
            <c:numRef>
              <c:f>[2018数据.xls]Sheet2!$B$3:$B$6</c:f>
              <c:numCache>
                <c:formatCode>General</c:formatCode>
                <c:ptCount val="4"/>
                <c:pt idx="0">
                  <c:v>1</c:v>
                </c:pt>
                <c:pt idx="1">
                  <c:v>2</c:v>
                </c:pt>
                <c:pt idx="2">
                  <c:v>1</c:v>
                </c:pt>
                <c:pt idx="3">
                  <c:v>354</c:v>
                </c:pt>
              </c:numCache>
            </c:numRef>
          </c:val>
        </c:ser>
        <c:dLbls>
          <c:showLegendKey val="0"/>
          <c:showVal val="1"/>
          <c:showCatName val="0"/>
          <c:showSerName val="0"/>
          <c:showPercent val="0"/>
          <c:showBubbleSize val="0"/>
        </c:dLbls>
        <c:gapWidth val="219"/>
        <c:overlap val="-27"/>
        <c:axId val="709670880"/>
        <c:axId val="709669704"/>
      </c:barChart>
      <c:catAx>
        <c:axId val="7096708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9669704"/>
        <c:crosses val="autoZero"/>
        <c:auto val="1"/>
        <c:lblAlgn val="ctr"/>
        <c:lblOffset val="100"/>
        <c:noMultiLvlLbl val="0"/>
      </c:catAx>
      <c:valAx>
        <c:axId val="709669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9670880"/>
        <c:crosses val="autoZero"/>
        <c:crossBetween val="between"/>
      </c:valAx>
      <c:spPr>
        <a:noFill/>
        <a:ln>
          <a:noFill/>
        </a:ln>
        <a:effectLst/>
      </c:spPr>
    </c:plotArea>
    <c:plotVisOnly val="1"/>
    <c:dispBlanksAs val="gap"/>
    <c:showDLblsOverMax val="0"/>
  </c:chart>
  <c:spPr>
    <a:solidFill>
      <a:schemeClr val="tx2">
        <a:lumMod val="40000"/>
        <a:lumOff val="6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90.31%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9.69%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[2018数据.xls]Sheet2!$A$3:$A$4</c:f>
              <c:strCache>
                <c:ptCount val="2"/>
                <c:pt idx="0">
                  <c:v>省内</c:v>
                </c:pt>
                <c:pt idx="1">
                  <c:v>省外</c:v>
                </c:pt>
              </c:strCache>
            </c:strRef>
          </c:cat>
          <c:val>
            <c:numRef>
              <c:f>[2018数据.xls]Sheet2!$B$3:$B$4</c:f>
              <c:numCache>
                <c:formatCode>General</c:formatCode>
                <c:ptCount val="2"/>
                <c:pt idx="0">
                  <c:v>1361</c:v>
                </c:pt>
                <c:pt idx="1">
                  <c:v>146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accent2">
        <a:lumMod val="40000"/>
        <a:lumOff val="6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zh-CN" altLang="en-US" b="1"/>
              <a:t>各分部占比</a:t>
            </a:r>
            <a:endParaRPr lang="zh-CN" altLang="en-US" b="1"/>
          </a:p>
        </c:rich>
      </c:tx>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[12.xls]Sheet1!$A$3:$A$14</c:f>
              <c:strCache>
                <c:ptCount val="12"/>
                <c:pt idx="0">
                  <c:v>其他企业</c:v>
                </c:pt>
                <c:pt idx="1">
                  <c:v>其他</c:v>
                </c:pt>
                <c:pt idx="2">
                  <c:v>中初教育单位</c:v>
                </c:pt>
                <c:pt idx="3">
                  <c:v>国有企业</c:v>
                </c:pt>
                <c:pt idx="4">
                  <c:v>三资企业</c:v>
                </c:pt>
                <c:pt idx="5">
                  <c:v>医疗卫生单位</c:v>
                </c:pt>
                <c:pt idx="6">
                  <c:v>其他事业单位</c:v>
                </c:pt>
                <c:pt idx="7">
                  <c:v>城镇社区</c:v>
                </c:pt>
                <c:pt idx="8">
                  <c:v>机关</c:v>
                </c:pt>
                <c:pt idx="9">
                  <c:v>高等教育单位</c:v>
                </c:pt>
                <c:pt idx="10">
                  <c:v>科研设计单位</c:v>
                </c:pt>
                <c:pt idx="11">
                  <c:v>农村建制村</c:v>
                </c:pt>
              </c:strCache>
            </c:strRef>
          </c:cat>
          <c:val>
            <c:numRef>
              <c:f>[12.xls]Sheet1!$C$3:$C$14</c:f>
              <c:numCache>
                <c:formatCode>0.00%</c:formatCode>
                <c:ptCount val="12"/>
                <c:pt idx="0">
                  <c:v>0.412898936170213</c:v>
                </c:pt>
                <c:pt idx="1">
                  <c:v>0.408244680851064</c:v>
                </c:pt>
                <c:pt idx="2">
                  <c:v>0.00398936170212766</c:v>
                </c:pt>
                <c:pt idx="3">
                  <c:v>0.0598404255319149</c:v>
                </c:pt>
                <c:pt idx="4">
                  <c:v>0.0851063829787234</c:v>
                </c:pt>
                <c:pt idx="5">
                  <c:v>0.00731382978723404</c:v>
                </c:pt>
                <c:pt idx="6">
                  <c:v>0.00664893617021277</c:v>
                </c:pt>
                <c:pt idx="7">
                  <c:v>0.0086436170212766</c:v>
                </c:pt>
                <c:pt idx="8">
                  <c:v>0.00465425531914894</c:v>
                </c:pt>
                <c:pt idx="9">
                  <c:v>0.000664893617021277</c:v>
                </c:pt>
                <c:pt idx="10">
                  <c:v>0.000664893617021277</c:v>
                </c:pt>
                <c:pt idx="11">
                  <c:v>0.00132978723404255</c:v>
                </c:pt>
              </c:numCache>
            </c:numRef>
          </c:val>
        </c:ser>
        <c:dLbls>
          <c:showLegendKey val="0"/>
          <c:showVal val="1"/>
          <c:showCatName val="0"/>
          <c:showSerName val="0"/>
          <c:showPercent val="0"/>
          <c:showBubbleSize val="0"/>
        </c:dLbls>
        <c:gapWidth val="182"/>
        <c:axId val="703944968"/>
        <c:axId val="703940264"/>
      </c:barChart>
      <c:catAx>
        <c:axId val="703944968"/>
        <c:scaling>
          <c:orientation val="minMax"/>
        </c:scaling>
        <c:delete val="0"/>
        <c:axPos val="l"/>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3940264"/>
        <c:crosses val="autoZero"/>
        <c:auto val="1"/>
        <c:lblAlgn val="ctr"/>
        <c:lblOffset val="100"/>
        <c:noMultiLvlLbl val="0"/>
      </c:catAx>
      <c:valAx>
        <c:axId val="703940264"/>
        <c:scaling>
          <c:orientation val="minMax"/>
        </c:scaling>
        <c:delete val="1"/>
        <c:axPos val="b"/>
        <c:numFmt formatCode="0.00%"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3944968"/>
        <c:crosses val="autoZero"/>
        <c:crossBetween val="between"/>
      </c:valAx>
      <c:spPr>
        <a:noFill/>
        <a:ln>
          <a:noFill/>
        </a:ln>
        <a:effectLst/>
      </c:spPr>
    </c:plotArea>
    <c:plotVisOnly val="1"/>
    <c:dispBlanksAs val="gap"/>
    <c:showDLblsOverMax val="0"/>
  </c:chart>
  <c:spPr>
    <a:solidFill>
      <a:schemeClr val="accent4">
        <a:lumMod val="40000"/>
        <a:lumOff val="6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zh-CN" altLang="en-US" b="1"/>
              <a:t>各分部占比</a:t>
            </a:r>
            <a:endParaRPr lang="zh-CN" altLang="en-US" b="1"/>
          </a:p>
        </c:rich>
      </c:tx>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0.27%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1.19%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5.04%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1.06%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0.07%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5"/>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10.48%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6"/>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5.77%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7"/>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3.19%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8"/>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6.77%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9"/>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4.58%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0.07%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1"/>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3.52%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2"/>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2.59%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3"/>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13.40%</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4"/>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0.66%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5"/>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3.05%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6"/>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4.45%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7"/>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14.86%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8"/>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8.23%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9"/>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6.57%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2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4.18%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[2018数据.xls]Sheet2!$A$24:$A$44</c:f>
              <c:strCache>
                <c:ptCount val="21"/>
                <c:pt idx="0">
                  <c:v>采矿业</c:v>
                </c:pt>
                <c:pt idx="1">
                  <c:v>电力、热力、燃气及水生产和供应业</c:v>
                </c:pt>
                <c:pt idx="2">
                  <c:v>房地产业</c:v>
                </c:pt>
                <c:pt idx="3">
                  <c:v>公共管理、社会保障和社会组织</c:v>
                </c:pt>
                <c:pt idx="4">
                  <c:v>国际组织</c:v>
                </c:pt>
                <c:pt idx="5">
                  <c:v>建筑业</c:v>
                </c:pt>
                <c:pt idx="6">
                  <c:v>交通运输、仓储和邮政业</c:v>
                </c:pt>
                <c:pt idx="7">
                  <c:v>教育</c:v>
                </c:pt>
                <c:pt idx="8">
                  <c:v>金融业</c:v>
                </c:pt>
                <c:pt idx="9">
                  <c:v>居民服务、修理和其他服务业</c:v>
                </c:pt>
                <c:pt idx="10">
                  <c:v>军队</c:v>
                </c:pt>
                <c:pt idx="11">
                  <c:v>科学研究和技术服务业</c:v>
                </c:pt>
                <c:pt idx="12">
                  <c:v>农、林、牧、渔业</c:v>
                </c:pt>
                <c:pt idx="13">
                  <c:v>批发和零售业</c:v>
                </c:pt>
                <c:pt idx="14">
                  <c:v>水利、环境和公共设施管理业</c:v>
                </c:pt>
                <c:pt idx="15">
                  <c:v>卫生和社会工作</c:v>
                </c:pt>
                <c:pt idx="16">
                  <c:v>文化、体育和娱乐业</c:v>
                </c:pt>
                <c:pt idx="17">
                  <c:v>信息传输、软件和信息技术服务业</c:v>
                </c:pt>
                <c:pt idx="18">
                  <c:v>制造业</c:v>
                </c:pt>
                <c:pt idx="19">
                  <c:v>住宿和餐饮业</c:v>
                </c:pt>
                <c:pt idx="20">
                  <c:v>租赁和商务服务业</c:v>
                </c:pt>
              </c:strCache>
            </c:strRef>
          </c:cat>
          <c:val>
            <c:numRef>
              <c:f>[2018数据.xls]Sheet2!$B$24:$B$44</c:f>
              <c:numCache>
                <c:formatCode>General</c:formatCode>
                <c:ptCount val="21"/>
                <c:pt idx="0">
                  <c:v>4</c:v>
                </c:pt>
                <c:pt idx="1">
                  <c:v>18</c:v>
                </c:pt>
                <c:pt idx="2">
                  <c:v>76</c:v>
                </c:pt>
                <c:pt idx="3">
                  <c:v>16</c:v>
                </c:pt>
                <c:pt idx="4">
                  <c:v>1</c:v>
                </c:pt>
                <c:pt idx="5">
                  <c:v>158</c:v>
                </c:pt>
                <c:pt idx="6">
                  <c:v>87</c:v>
                </c:pt>
                <c:pt idx="7">
                  <c:v>48</c:v>
                </c:pt>
                <c:pt idx="8">
                  <c:v>102</c:v>
                </c:pt>
                <c:pt idx="9">
                  <c:v>69</c:v>
                </c:pt>
                <c:pt idx="10">
                  <c:v>1</c:v>
                </c:pt>
                <c:pt idx="11">
                  <c:v>53</c:v>
                </c:pt>
                <c:pt idx="12">
                  <c:v>39</c:v>
                </c:pt>
                <c:pt idx="13">
                  <c:v>202</c:v>
                </c:pt>
                <c:pt idx="14">
                  <c:v>10</c:v>
                </c:pt>
                <c:pt idx="15">
                  <c:v>46</c:v>
                </c:pt>
                <c:pt idx="16">
                  <c:v>67</c:v>
                </c:pt>
                <c:pt idx="17">
                  <c:v>224</c:v>
                </c:pt>
                <c:pt idx="18">
                  <c:v>124</c:v>
                </c:pt>
                <c:pt idx="19">
                  <c:v>99</c:v>
                </c:pt>
                <c:pt idx="20">
                  <c:v>63</c:v>
                </c:pt>
              </c:numCache>
            </c:numRef>
          </c:val>
        </c:ser>
        <c:dLbls>
          <c:showLegendKey val="0"/>
          <c:showVal val="1"/>
          <c:showCatName val="0"/>
          <c:showSerName val="0"/>
          <c:showPercent val="0"/>
          <c:showBubbleSize val="0"/>
        </c:dLbls>
        <c:gapWidth val="182"/>
        <c:axId val="703941832"/>
        <c:axId val="703934776"/>
      </c:barChart>
      <c:catAx>
        <c:axId val="703941832"/>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3934776"/>
        <c:crosses val="autoZero"/>
        <c:auto val="1"/>
        <c:lblAlgn val="ctr"/>
        <c:lblOffset val="100"/>
        <c:noMultiLvlLbl val="0"/>
      </c:catAx>
      <c:valAx>
        <c:axId val="703934776"/>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3941832"/>
        <c:crosses val="autoZero"/>
        <c:crossBetween val="between"/>
      </c:valAx>
      <c:spPr>
        <a:noFill/>
        <a:ln>
          <a:noFill/>
        </a:ln>
        <a:effectLst/>
      </c:spPr>
    </c:plotArea>
    <c:plotVisOnly val="1"/>
    <c:dispBlanksAs val="gap"/>
    <c:showDLblsOverMax val="0"/>
  </c:chart>
  <c:spPr>
    <a:solidFill>
      <a:schemeClr val="accent5">
        <a:lumMod val="40000"/>
        <a:lumOff val="6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zh-CN" altLang="en-US" b="1"/>
              <a:t>各分部占比</a:t>
            </a:r>
            <a:endParaRPr lang="zh-CN" altLang="en-US" b="1"/>
          </a:p>
        </c:rich>
      </c:tx>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[2018数据.xls]Sheet2!$A$3:$A$17</c:f>
              <c:strCache>
                <c:ptCount val="15"/>
                <c:pt idx="0">
                  <c:v>办事人员和有关人员</c:v>
                </c:pt>
                <c:pt idx="1">
                  <c:v>工程技术人员</c:v>
                </c:pt>
                <c:pt idx="2">
                  <c:v>教学人员</c:v>
                </c:pt>
                <c:pt idx="3">
                  <c:v>金融业务人员</c:v>
                </c:pt>
                <c:pt idx="4">
                  <c:v>经济业务人员</c:v>
                </c:pt>
                <c:pt idx="5">
                  <c:v>科学研究人员</c:v>
                </c:pt>
                <c:pt idx="6">
                  <c:v>农林牧渔业技术人员</c:v>
                </c:pt>
                <c:pt idx="7">
                  <c:v>其他人员</c:v>
                </c:pt>
                <c:pt idx="8">
                  <c:v>其他专业技术人员</c:v>
                </c:pt>
                <c:pt idx="9">
                  <c:v>商业和服务业人员</c:v>
                </c:pt>
                <c:pt idx="10">
                  <c:v>生产和运输设备操作人员</c:v>
                </c:pt>
                <c:pt idx="11">
                  <c:v>体育工作人员</c:v>
                </c:pt>
                <c:pt idx="12">
                  <c:v>卫生专业技术人员</c:v>
                </c:pt>
                <c:pt idx="13">
                  <c:v>文学艺术工作人员</c:v>
                </c:pt>
                <c:pt idx="14">
                  <c:v>新闻出版和文化工作人员</c:v>
                </c:pt>
              </c:strCache>
            </c:strRef>
          </c:cat>
          <c:val>
            <c:numRef>
              <c:f>[2018数据.xls]Sheet2!$C$3:$C$17</c:f>
              <c:numCache>
                <c:formatCode>0.00%</c:formatCode>
                <c:ptCount val="15"/>
                <c:pt idx="0">
                  <c:v>0.0578457446808511</c:v>
                </c:pt>
                <c:pt idx="1">
                  <c:v>0.0824468085106383</c:v>
                </c:pt>
                <c:pt idx="2">
                  <c:v>0.00598404255319149</c:v>
                </c:pt>
                <c:pt idx="3">
                  <c:v>0.0465425531914894</c:v>
                </c:pt>
                <c:pt idx="4">
                  <c:v>0.0299202127659574</c:v>
                </c:pt>
                <c:pt idx="5">
                  <c:v>0.00132978723404255</c:v>
                </c:pt>
                <c:pt idx="6">
                  <c:v>0.00664893617021277</c:v>
                </c:pt>
                <c:pt idx="7">
                  <c:v>0.527260638297872</c:v>
                </c:pt>
                <c:pt idx="8">
                  <c:v>0.0625</c:v>
                </c:pt>
                <c:pt idx="9">
                  <c:v>0.148271276595745</c:v>
                </c:pt>
                <c:pt idx="10">
                  <c:v>0.0166223404255319</c:v>
                </c:pt>
                <c:pt idx="11">
                  <c:v>0.00132978723404255</c:v>
                </c:pt>
                <c:pt idx="12">
                  <c:v>0.00398936170212766</c:v>
                </c:pt>
                <c:pt idx="13">
                  <c:v>0.00598404255319149</c:v>
                </c:pt>
                <c:pt idx="14">
                  <c:v>0.00332446808510638</c:v>
                </c:pt>
              </c:numCache>
            </c:numRef>
          </c:val>
        </c:ser>
        <c:dLbls>
          <c:showLegendKey val="0"/>
          <c:showVal val="1"/>
          <c:showCatName val="0"/>
          <c:showSerName val="0"/>
          <c:showPercent val="0"/>
          <c:showBubbleSize val="0"/>
        </c:dLbls>
        <c:gapWidth val="182"/>
        <c:axId val="703940656"/>
        <c:axId val="703942224"/>
      </c:barChart>
      <c:catAx>
        <c:axId val="703940656"/>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3942224"/>
        <c:crosses val="autoZero"/>
        <c:auto val="1"/>
        <c:lblAlgn val="ctr"/>
        <c:lblOffset val="100"/>
        <c:noMultiLvlLbl val="0"/>
      </c:catAx>
      <c:valAx>
        <c:axId val="703942224"/>
        <c:scaling>
          <c:orientation val="minMax"/>
        </c:scaling>
        <c:delete val="1"/>
        <c:axPos val="b"/>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3940656"/>
        <c:crosses val="autoZero"/>
        <c:crossBetween val="between"/>
      </c:valAx>
      <c:spPr>
        <a:noFill/>
        <a:ln>
          <a:noFill/>
        </a:ln>
        <a:effectLst/>
      </c:spPr>
    </c:plotArea>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zh-CN" altLang="en-US" b="1"/>
              <a:t>升学原因</a:t>
            </a:r>
            <a:endParaRPr lang="zh-CN" altLang="en-US" b="1"/>
          </a:p>
        </c:rich>
      </c:tx>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[2018数据.xls]Sheet2!$A$4:$A$7</c:f>
              <c:strCache>
                <c:ptCount val="4"/>
                <c:pt idx="0">
                  <c:v>其他</c:v>
                </c:pt>
                <c:pt idx="1">
                  <c:v>提升综合能力</c:v>
                </c:pt>
                <c:pt idx="2">
                  <c:v>增加择业成本，立足高起点</c:v>
                </c:pt>
                <c:pt idx="3">
                  <c:v>对专业感兴趣，继续深造</c:v>
                </c:pt>
              </c:strCache>
            </c:strRef>
          </c:cat>
          <c:val>
            <c:numRef>
              <c:f>[2018数据.xls]Sheet2!$B$4:$B$7</c:f>
              <c:numCache>
                <c:formatCode>0.00%</c:formatCode>
                <c:ptCount val="4"/>
                <c:pt idx="0">
                  <c:v>0.0274</c:v>
                </c:pt>
                <c:pt idx="1">
                  <c:v>0.2627</c:v>
                </c:pt>
                <c:pt idx="2">
                  <c:v>0.3619</c:v>
                </c:pt>
                <c:pt idx="3">
                  <c:v>0.348</c:v>
                </c:pt>
              </c:numCache>
            </c:numRef>
          </c:val>
        </c:ser>
        <c:dLbls>
          <c:showLegendKey val="0"/>
          <c:showVal val="1"/>
          <c:showCatName val="0"/>
          <c:showSerName val="0"/>
          <c:showPercent val="0"/>
          <c:showBubbleSize val="0"/>
        </c:dLbls>
        <c:gapWidth val="182"/>
        <c:axId val="703945360"/>
        <c:axId val="703945752"/>
      </c:barChart>
      <c:catAx>
        <c:axId val="70394536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3945752"/>
        <c:crosses val="autoZero"/>
        <c:auto val="1"/>
        <c:lblAlgn val="ctr"/>
        <c:lblOffset val="100"/>
        <c:noMultiLvlLbl val="0"/>
      </c:catAx>
      <c:valAx>
        <c:axId val="70394575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3945360"/>
        <c:crosses val="autoZero"/>
        <c:crossBetween val="between"/>
      </c:valAx>
      <c:spPr>
        <a:noFill/>
        <a:ln>
          <a:noFill/>
        </a:ln>
        <a:effectLst/>
      </c:spPr>
    </c:plotArea>
    <c:plotVisOnly val="1"/>
    <c:dispBlanksAs val="gap"/>
    <c:showDLblsOverMax val="0"/>
  </c:chart>
  <c:spPr>
    <a:solidFill>
      <a:schemeClr val="accent4">
        <a:lumMod val="40000"/>
        <a:lumOff val="60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B73EA8-C799-4B71-8FC5-682844BBBDE9}">
  <ds:schemaRefs/>
</ds:datastoreItem>
</file>

<file path=docProps/app.xml><?xml version="1.0" encoding="utf-8"?>
<Properties xmlns="http://schemas.openxmlformats.org/officeDocument/2006/extended-properties" xmlns:vt="http://schemas.openxmlformats.org/officeDocument/2006/docPropsVTypes">
  <Template>Normal.dotm</Template>
  <Company>AM电脑吧</Company>
  <Pages>24</Pages>
  <Words>1361</Words>
  <Characters>7760</Characters>
  <Lines>64</Lines>
  <Paragraphs>18</Paragraphs>
  <TotalTime>32</TotalTime>
  <ScaleCrop>false</ScaleCrop>
  <LinksUpToDate>false</LinksUpToDate>
  <CharactersWithSpaces>9103</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2018-12-17T01:15:00Z</dcterms:created>
  <dc:creator>User</dc:creator>
  <cp:lastModifiedBy>DELL</cp:lastModifiedBy>
  <cp:lastPrinted>2018-12-20T07:00:30Z</cp:lastPrinted>
  <dcterms:modified xsi:type="dcterms:W3CDTF">2018-12-20T07:10:20Z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y fmtid="{D5CDD505-2E9C-101B-9397-08002B2CF9AE}" pid="3" name="KSORubyTemplateID" linkTarget="0">
    <vt:lpwstr>6</vt:lpwstr>
  </property>
</Properties>
</file>